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8FD74" w14:textId="410CBE80" w:rsidR="00D43A67" w:rsidRDefault="00B16679" w:rsidP="00D43A67">
      <w:pPr>
        <w:pStyle w:val="Heading2Extension"/>
      </w:pPr>
      <w:r>
        <w:t>AGRIC</w:t>
      </w:r>
      <w:r w:rsidR="00E24DD4">
        <w:t>ULTURAL ACT OF 2014, Fact sheet</w:t>
      </w:r>
    </w:p>
    <w:p w14:paraId="7B28FD75" w14:textId="77777777" w:rsidR="00D43A67" w:rsidRDefault="00B16679" w:rsidP="00D43A67">
      <w:pPr>
        <w:pStyle w:val="Heading1Extension"/>
      </w:pPr>
      <w:r>
        <w:t>Dairy MPP – Strategies for MY Farm</w:t>
      </w:r>
    </w:p>
    <w:p w14:paraId="7B28FD76" w14:textId="1DFD3D57" w:rsidR="00D43A67" w:rsidRDefault="00B16679" w:rsidP="00D43A67">
      <w:pPr>
        <w:pStyle w:val="IntroLines"/>
      </w:pPr>
      <w:r>
        <w:rPr>
          <w:noProof/>
          <w:lang w:eastAsia="en-US"/>
        </w:rPr>
        <mc:AlternateContent>
          <mc:Choice Requires="wps">
            <w:drawing>
              <wp:anchor distT="0" distB="0" distL="114300" distR="114300" simplePos="0" relativeHeight="251665408" behindDoc="0" locked="1" layoutInCell="1" allowOverlap="1" wp14:anchorId="7B28FE05" wp14:editId="7B28FE06">
                <wp:simplePos x="0" y="0"/>
                <wp:positionH relativeFrom="column">
                  <wp:posOffset>1990725</wp:posOffset>
                </wp:positionH>
                <wp:positionV relativeFrom="page">
                  <wp:posOffset>809625</wp:posOffset>
                </wp:positionV>
                <wp:extent cx="2796540" cy="247650"/>
                <wp:effectExtent l="0" t="0" r="381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FE1D" w14:textId="77777777" w:rsidR="00F648A7" w:rsidRPr="00026539" w:rsidRDefault="00F648A7" w:rsidP="000A4578">
                            <w:pPr>
                              <w:pStyle w:val="ProgramName"/>
                            </w:pPr>
                            <w:r>
                              <w:t>Agricultural Business Management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56.75pt;margin-top:63.75pt;width:220.2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" filled="f" stroked="f">
                <v:textbox>
                  <w:txbxContent>
                    <w:p w14:paraId="7B28FE1D" w14:textId="77777777" w:rsidR="00F648A7" w:rsidRPr="00026539" w:rsidRDefault="00F648A7" w:rsidP="000A4578">
                      <w:pPr>
                        <w:pStyle w:val="ProgramName"/>
                      </w:pPr>
                      <w:r>
                        <w:t>Agricultural Business Management</w:t>
                      </w:r>
                    </w:p>
                  </w:txbxContent>
                </v:textbox>
                <w10:wrap anchory="page"/>
                <w10:anchorlock/>
              </v:shape>
            </w:pict>
          </mc:Fallback>
        </mc:AlternateContent>
      </w:r>
      <w:r>
        <w:t xml:space="preserve">Curtis </w:t>
      </w:r>
      <w:proofErr w:type="spellStart"/>
      <w:r>
        <w:t>Mahnken</w:t>
      </w:r>
      <w:proofErr w:type="spellEnd"/>
      <w:r>
        <w:t xml:space="preserve">, Center for Farm Financial Management, Applied Economics, </w:t>
      </w:r>
      <w:r w:rsidR="009D4408">
        <w:t>August 2015</w:t>
      </w:r>
    </w:p>
    <w:p w14:paraId="59B479AC" w14:textId="52372F66" w:rsidR="00A257D9" w:rsidRDefault="00A257D9" w:rsidP="00A257D9">
      <w:pPr>
        <w:pStyle w:val="IntroLines"/>
      </w:pPr>
      <w:r>
        <w:rPr>
          <w:noProof/>
          <w:lang w:eastAsia="en-US"/>
        </w:rPr>
        <mc:AlternateContent>
          <mc:Choice Requires="wps">
            <w:drawing>
              <wp:anchor distT="0" distB="0" distL="114300" distR="114300" simplePos="0" relativeHeight="251668480" behindDoc="0" locked="1" layoutInCell="1" allowOverlap="1" wp14:anchorId="7BACA0C9" wp14:editId="28A12F0A">
                <wp:simplePos x="0" y="0"/>
                <wp:positionH relativeFrom="column">
                  <wp:posOffset>1990725</wp:posOffset>
                </wp:positionH>
                <wp:positionV relativeFrom="page">
                  <wp:posOffset>809625</wp:posOffset>
                </wp:positionV>
                <wp:extent cx="2796540" cy="247650"/>
                <wp:effectExtent l="0" t="0" r="381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2EAD" w14:textId="77777777" w:rsidR="00F648A7" w:rsidRPr="00026539" w:rsidRDefault="00F648A7" w:rsidP="00A257D9">
                            <w:pPr>
                              <w:pStyle w:val="ProgramName"/>
                            </w:pPr>
                            <w:r>
                              <w:t>Agricultural Business Management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6.75pt;margin-top:63.75pt;width:220.2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" filled="f" stroked="f">
                <v:textbox>
                  <w:txbxContent>
                    <w:p w14:paraId="3BA12EAD" w14:textId="77777777" w:rsidR="00F648A7" w:rsidRPr="00026539" w:rsidRDefault="00F648A7" w:rsidP="00A257D9">
                      <w:pPr>
                        <w:pStyle w:val="ProgramName"/>
                      </w:pPr>
                      <w:r>
                        <w:t>Agricultural Business Management</w:t>
                      </w:r>
                    </w:p>
                  </w:txbxContent>
                </v:textbox>
                <w10:wrap anchory="page"/>
                <w10:anchorlock/>
              </v:shape>
            </w:pict>
          </mc:Fallback>
        </mc:AlternateContent>
      </w:r>
      <w:r>
        <w:t>Kevin Klair, Center for Farm Financial Management, Applied Economics</w:t>
      </w:r>
    </w:p>
    <w:p w14:paraId="4D4730B3" w14:textId="20421247" w:rsidR="00DB541A" w:rsidRDefault="00DB541A" w:rsidP="00A257D9">
      <w:pPr>
        <w:pStyle w:val="IntroLines"/>
      </w:pPr>
      <w:r>
        <w:t>Robert Craven, Center for Farm Financial Management, Applied Economics</w:t>
      </w:r>
    </w:p>
    <w:p w14:paraId="2E283F19" w14:textId="75CA8A6B" w:rsidR="009D4408" w:rsidRDefault="009D4408" w:rsidP="00A257D9">
      <w:pPr>
        <w:pStyle w:val="IntroLines"/>
      </w:pPr>
      <w:r>
        <w:t xml:space="preserve">Betty </w:t>
      </w:r>
      <w:proofErr w:type="spellStart"/>
      <w:r>
        <w:t>Berning</w:t>
      </w:r>
      <w:proofErr w:type="spellEnd"/>
      <w:r>
        <w:t xml:space="preserve">, </w:t>
      </w:r>
      <w:r w:rsidR="004152D6">
        <w:t>Agricultural Business Management</w:t>
      </w:r>
      <w:bookmarkStart w:id="0" w:name="_GoBack"/>
      <w:bookmarkEnd w:id="0"/>
      <w:r>
        <w:t>, University of Minnesota Extension</w:t>
      </w:r>
    </w:p>
    <w:p w14:paraId="7B28FD77" w14:textId="2C80C359" w:rsidR="00D43A67" w:rsidRDefault="00D43A67" w:rsidP="00D43A67">
      <w:pPr>
        <w:pStyle w:val="IntroLines"/>
      </w:pPr>
    </w:p>
    <w:p w14:paraId="7B28FD78" w14:textId="62D2EA19" w:rsidR="00D43A67" w:rsidRDefault="00E744A1" w:rsidP="00D43A67">
      <w:pPr>
        <w:pStyle w:val="IntroLines"/>
        <w:sectPr w:rsidR="00D43A67" w:rsidSect="00D43A67">
          <w:headerReference w:type="first" r:id="rId9"/>
          <w:type w:val="continuous"/>
          <w:pgSz w:w="12240" w:h="15840"/>
          <w:pgMar w:top="2610" w:right="1080" w:bottom="720" w:left="1080" w:header="720" w:footer="720" w:gutter="0"/>
          <w:cols w:space="720"/>
          <w:titlePg/>
          <w:docGrid w:linePitch="360"/>
        </w:sectPr>
      </w:pPr>
      <w:r>
        <w:rPr>
          <w:noProof/>
          <w:lang w:eastAsia="en-US"/>
        </w:rPr>
        <w:drawing>
          <wp:anchor distT="0" distB="91440" distL="114300" distR="114300" simplePos="0" relativeHeight="251651072" behindDoc="0" locked="0" layoutInCell="1" allowOverlap="1" wp14:anchorId="7B28FE07" wp14:editId="7D496EBA">
            <wp:simplePos x="0" y="0"/>
            <wp:positionH relativeFrom="column">
              <wp:posOffset>3445510</wp:posOffset>
            </wp:positionH>
            <wp:positionV relativeFrom="paragraph">
              <wp:posOffset>13970</wp:posOffset>
            </wp:positionV>
            <wp:extent cx="2742316" cy="1828800"/>
            <wp:effectExtent l="0" t="0" r="1270" b="0"/>
            <wp:wrapSquare wrapText="bothSides"/>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tag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2316" cy="1828800"/>
                    </a:xfrm>
                    <a:prstGeom prst="rect">
                      <a:avLst/>
                    </a:prstGeom>
                  </pic:spPr>
                </pic:pic>
              </a:graphicData>
            </a:graphic>
            <wp14:sizeRelH relativeFrom="margin">
              <wp14:pctWidth>0</wp14:pctWidth>
            </wp14:sizeRelH>
            <wp14:sizeRelV relativeFrom="margin">
              <wp14:pctHeight>0</wp14:pctHeight>
            </wp14:sizeRelV>
          </wp:anchor>
        </w:drawing>
      </w:r>
    </w:p>
    <w:p w14:paraId="489664E9" w14:textId="5E7D6434" w:rsidR="003C3BE4" w:rsidRDefault="002B553C" w:rsidP="002E0056">
      <w:pPr>
        <w:pStyle w:val="BodyTextExtension"/>
      </w:pPr>
      <w:r>
        <w:lastRenderedPageBreak/>
        <w:t>Dairy Margin Protection Program (MPP)</w:t>
      </w:r>
      <w:r w:rsidR="003C3BE4">
        <w:t xml:space="preserve"> 2016 enrollment</w:t>
      </w:r>
      <w:r>
        <w:t xml:space="preserve"> </w:t>
      </w:r>
      <w:r w:rsidR="00DC7DA0">
        <w:t xml:space="preserve">opened July 1, 2015 and runs </w:t>
      </w:r>
      <w:r>
        <w:t xml:space="preserve">until </w:t>
      </w:r>
      <w:r w:rsidR="00DC7DA0">
        <w:t>September 30, 2015</w:t>
      </w:r>
      <w:r>
        <w:t xml:space="preserve">.  MPP allows producers to protect milk price/feed cost margin </w:t>
      </w:r>
      <w:r w:rsidR="00E762DA">
        <w:t xml:space="preserve">by selecting a coverage level </w:t>
      </w:r>
      <w:r>
        <w:t>from $4.00 to $8.00</w:t>
      </w:r>
      <w:r w:rsidR="00E762DA">
        <w:t>/cwt</w:t>
      </w:r>
      <w:r>
        <w:t xml:space="preserve">. </w:t>
      </w:r>
      <w:r w:rsidR="00DC7DA0">
        <w:t xml:space="preserve"> D</w:t>
      </w:r>
      <w:r>
        <w:t xml:space="preserve">airy producers </w:t>
      </w:r>
      <w:r w:rsidR="00D17047">
        <w:t xml:space="preserve">already enrolled in </w:t>
      </w:r>
      <w:r w:rsidR="003C3BE4">
        <w:t>MPP must re-enroll for 2016</w:t>
      </w:r>
      <w:r w:rsidR="00E81D5E">
        <w:t xml:space="preserve">.  </w:t>
      </w:r>
      <w:r w:rsidR="003C3BE4">
        <w:t xml:space="preserve">For producers that haven’t enrolled before, they </w:t>
      </w:r>
      <w:r>
        <w:t>must decide whether</w:t>
      </w:r>
      <w:r w:rsidR="00E762DA">
        <w:t xml:space="preserve"> or not</w:t>
      </w:r>
      <w:r>
        <w:t xml:space="preserve"> to sign up for the program.</w:t>
      </w:r>
      <w:r w:rsidR="00D17047">
        <w:t xml:space="preserve">  Once enrolled, producers are required to pay the $100 administrative fee annually, regardless of coverage level.</w:t>
      </w:r>
      <w:r>
        <w:t xml:space="preserve">  </w:t>
      </w:r>
    </w:p>
    <w:p w14:paraId="4CAA0839" w14:textId="6B249A05" w:rsidR="003C3BE4" w:rsidRDefault="003C3BE4" w:rsidP="00D1438B">
      <w:pPr>
        <w:pStyle w:val="Heading3Extension"/>
      </w:pPr>
      <w:r>
        <w:t>WHAT DO I NEED TO DO TO RE-ENROLL?</w:t>
      </w:r>
    </w:p>
    <w:p w14:paraId="52498FF5" w14:textId="742A06C5" w:rsidR="003C3BE4" w:rsidRDefault="003C3BE4" w:rsidP="002E0056">
      <w:pPr>
        <w:pStyle w:val="BodyTextExtension"/>
      </w:pPr>
      <w:r>
        <w:t>Producers need to visit their local FSA office to re-enroll.  In addition, coverage level will need to be chosen.  If you enrolled in</w:t>
      </w:r>
      <w:r w:rsidR="00DC7DA0">
        <w:t xml:space="preserve"> MPP in</w:t>
      </w:r>
      <w:r>
        <w:t xml:space="preserve"> 2015, you will receive a 2.61% “bump” on your production history.</w:t>
      </w:r>
    </w:p>
    <w:p w14:paraId="7B28FD7B" w14:textId="1E4649DF" w:rsidR="00D43A67" w:rsidRDefault="00E636D0" w:rsidP="00D43A67">
      <w:pPr>
        <w:pStyle w:val="Heading3Extension"/>
      </w:pPr>
      <w:r>
        <w:t>should i sign</w:t>
      </w:r>
      <w:r w:rsidR="00DC7DA0">
        <w:t xml:space="preserve"> </w:t>
      </w:r>
      <w:r>
        <w:t xml:space="preserve"> up?</w:t>
      </w:r>
    </w:p>
    <w:p w14:paraId="7B28FD7C" w14:textId="23C66B1A" w:rsidR="00E636D0" w:rsidRPr="00A257D9" w:rsidRDefault="00C42471" w:rsidP="00D43A67">
      <w:pPr>
        <w:pStyle w:val="BodyTextExtension"/>
      </w:pPr>
      <w:r>
        <w:t xml:space="preserve">If you haven’t enrolled before, you’ll want to </w:t>
      </w:r>
      <w:r w:rsidR="00E636D0" w:rsidRPr="00A257D9">
        <w:t xml:space="preserve">consider </w:t>
      </w:r>
      <w:r w:rsidR="00E762DA">
        <w:t>if MPP is for you</w:t>
      </w:r>
      <w:r w:rsidR="00E636D0" w:rsidRPr="00A257D9">
        <w:t xml:space="preserve">.  </w:t>
      </w:r>
      <w:r w:rsidR="00193082" w:rsidRPr="00A257D9">
        <w:t>If you are currently not using a risk management tool</w:t>
      </w:r>
      <w:r w:rsidR="00DC7DA0">
        <w:t xml:space="preserve">, </w:t>
      </w:r>
      <w:r w:rsidR="00193082" w:rsidRPr="00A257D9">
        <w:t xml:space="preserve">MPP </w:t>
      </w:r>
      <w:r w:rsidR="00787F6F" w:rsidRPr="00A257D9">
        <w:t xml:space="preserve">is a </w:t>
      </w:r>
      <w:r w:rsidR="008E3F83">
        <w:t>good</w:t>
      </w:r>
      <w:r w:rsidR="008E3F83" w:rsidRPr="00A257D9">
        <w:t xml:space="preserve"> </w:t>
      </w:r>
      <w:r w:rsidR="00D82AA8" w:rsidRPr="00A257D9">
        <w:t>risk management option</w:t>
      </w:r>
      <w:r w:rsidR="00DC7DA0">
        <w:t xml:space="preserve">.  </w:t>
      </w:r>
      <w:r>
        <w:t xml:space="preserve">If you’ve used LGM-Dairy as a risk management tool, </w:t>
      </w:r>
      <w:r w:rsidR="00596400">
        <w:t xml:space="preserve">and you choose to enroll in MPP </w:t>
      </w:r>
      <w:r>
        <w:t xml:space="preserve">your contracts will </w:t>
      </w:r>
      <w:r w:rsidR="00DC7DA0">
        <w:t>need to end by December 31, 2015</w:t>
      </w:r>
      <w:r>
        <w:t>.</w:t>
      </w:r>
    </w:p>
    <w:p w14:paraId="7B28FD7D" w14:textId="77777777" w:rsidR="00E636D0" w:rsidRPr="00A257D9" w:rsidRDefault="00E636D0" w:rsidP="00E636D0">
      <w:pPr>
        <w:pStyle w:val="Heading3Extension"/>
      </w:pPr>
      <w:r w:rsidRPr="00A257D9">
        <w:t>how much milk should i protect?</w:t>
      </w:r>
    </w:p>
    <w:p w14:paraId="7B28FD7E" w14:textId="055F777D" w:rsidR="00F94BEE" w:rsidRPr="00A257D9" w:rsidRDefault="00842A59" w:rsidP="00661DBD">
      <w:pPr>
        <w:pStyle w:val="BodyTextExtension"/>
      </w:pPr>
      <w:r w:rsidRPr="00A257D9">
        <w:t xml:space="preserve">This </w:t>
      </w:r>
      <w:r w:rsidR="00787F6F" w:rsidRPr="00A257D9">
        <w:t>decision</w:t>
      </w:r>
      <w:r w:rsidRPr="00A257D9">
        <w:t xml:space="preserve"> </w:t>
      </w:r>
      <w:r w:rsidR="00787F6F" w:rsidRPr="00A257D9">
        <w:t>should be</w:t>
      </w:r>
      <w:r w:rsidRPr="00A257D9">
        <w:t xml:space="preserve"> answered by </w:t>
      </w:r>
      <w:r w:rsidR="00FE4052">
        <w:t xml:space="preserve">considering the following:  </w:t>
      </w:r>
      <w:r w:rsidR="00234CA3" w:rsidRPr="00A257D9">
        <w:t>W</w:t>
      </w:r>
      <w:r w:rsidRPr="00A257D9">
        <w:t xml:space="preserve">hat </w:t>
      </w:r>
      <w:r w:rsidR="00E90BB0" w:rsidRPr="00A257D9">
        <w:t xml:space="preserve">is </w:t>
      </w:r>
      <w:r w:rsidRPr="00A257D9">
        <w:t>your current risk management strategy and what</w:t>
      </w:r>
      <w:r w:rsidR="00FE4052">
        <w:t xml:space="preserve"> tools are you</w:t>
      </w:r>
      <w:r w:rsidRPr="00A257D9">
        <w:t xml:space="preserve"> using</w:t>
      </w:r>
      <w:r w:rsidR="00E90BB0" w:rsidRPr="00A257D9">
        <w:t>?</w:t>
      </w:r>
      <w:r w:rsidRPr="00A257D9">
        <w:t xml:space="preserve">  What percentage of your production is currently protected?  Utilize MPP to cover the remaining portion of unprotected produc</w:t>
      </w:r>
      <w:r w:rsidR="00795E1F" w:rsidRPr="00A257D9">
        <w:t>tion.</w:t>
      </w:r>
    </w:p>
    <w:p w14:paraId="7B28FD7F" w14:textId="77777777" w:rsidR="00E636D0" w:rsidRPr="00A257D9" w:rsidRDefault="00EA630C" w:rsidP="00E636D0">
      <w:pPr>
        <w:pStyle w:val="Heading3Extension"/>
      </w:pPr>
      <w:r w:rsidRPr="00A257D9">
        <w:t>What coverage level should i choose?</w:t>
      </w:r>
    </w:p>
    <w:p w14:paraId="752F8B2C" w14:textId="77777777" w:rsidR="003F0B3D" w:rsidRDefault="003F0B3D" w:rsidP="003F0B3D">
      <w:pPr>
        <w:pStyle w:val="BodyTextExtension"/>
      </w:pPr>
      <w:r>
        <w:t xml:space="preserve">The best way to determine how the program will benefit your operation is to run several scenarios using the national MPP online decision tool available at </w:t>
      </w:r>
      <w:hyperlink r:id="rId11" w:history="1">
        <w:r w:rsidRPr="002B553C">
          <w:rPr>
            <w:rStyle w:val="Hyperlink"/>
            <w:szCs w:val="21"/>
          </w:rPr>
          <w:t>www.fsa.usda.gov</w:t>
        </w:r>
      </w:hyperlink>
      <w:r w:rsidRPr="002B553C">
        <w:rPr>
          <w:szCs w:val="21"/>
        </w:rPr>
        <w:t>.</w:t>
      </w:r>
    </w:p>
    <w:p w14:paraId="3BFB07FA" w14:textId="77777777" w:rsidR="003F0B3D" w:rsidRDefault="003F0B3D" w:rsidP="003F0B3D">
      <w:pPr>
        <w:pStyle w:val="BodyTextExtension"/>
      </w:pPr>
      <w:r>
        <w:t>The tool is easy to use.  Enter your annual production history and it will project the likelihood of receiving a payment based on current futures prices for both milk and feed.</w:t>
      </w:r>
    </w:p>
    <w:p w14:paraId="433070A5" w14:textId="1D9A65AC" w:rsidR="00ED479C" w:rsidRDefault="00B4550C" w:rsidP="00F24E9D">
      <w:pPr>
        <w:pStyle w:val="BodyTextExtension"/>
      </w:pPr>
      <w:r>
        <w:t xml:space="preserve">If producers want to simplify the number of scenarios they consider, the University of Minnesota Extension </w:t>
      </w:r>
      <w:r w:rsidR="00FE4052">
        <w:t>Agricultural Business Management team</w:t>
      </w:r>
      <w:r>
        <w:t xml:space="preserve"> suggests evaluating three options</w:t>
      </w:r>
      <w:r w:rsidR="00ED479C">
        <w:t>:</w:t>
      </w:r>
    </w:p>
    <w:p w14:paraId="45691A19" w14:textId="6077A528" w:rsidR="00ED479C" w:rsidRDefault="00ED479C" w:rsidP="00D1438B">
      <w:pPr>
        <w:pStyle w:val="BodyTextExtension"/>
        <w:numPr>
          <w:ilvl w:val="0"/>
          <w:numId w:val="7"/>
        </w:numPr>
      </w:pPr>
      <w:r>
        <w:t xml:space="preserve">Only Catastrophic </w:t>
      </w:r>
    </w:p>
    <w:p w14:paraId="15D6E20D" w14:textId="1D3EEE39" w:rsidR="00ED479C" w:rsidRDefault="00ED479C" w:rsidP="00D1438B">
      <w:pPr>
        <w:pStyle w:val="BodyTextExtension"/>
        <w:numPr>
          <w:ilvl w:val="0"/>
          <w:numId w:val="7"/>
        </w:numPr>
      </w:pPr>
      <w:r>
        <w:lastRenderedPageBreak/>
        <w:t xml:space="preserve">Risk Management </w:t>
      </w:r>
    </w:p>
    <w:p w14:paraId="2082DC3C" w14:textId="473B30F4" w:rsidR="00B4550C" w:rsidRDefault="00ED479C" w:rsidP="00D1438B">
      <w:pPr>
        <w:pStyle w:val="BodyTextExtension"/>
        <w:numPr>
          <w:ilvl w:val="0"/>
          <w:numId w:val="7"/>
        </w:numPr>
      </w:pPr>
      <w:r>
        <w:t>Maximize Predicted Net Return</w:t>
      </w:r>
      <w:r w:rsidR="00B4550C">
        <w:t xml:space="preserve"> </w:t>
      </w:r>
    </w:p>
    <w:p w14:paraId="5E1FB528" w14:textId="77777777" w:rsidR="00B4550C" w:rsidRDefault="00B4550C" w:rsidP="00F24E9D">
      <w:pPr>
        <w:pStyle w:val="BodyTextExtension"/>
      </w:pPr>
      <w:r>
        <w:t>The MPP decision tool was used to evaluate these strategies using two example farms. One sample farm had 4 million pounds of annual production (4M).  The other had 20 million pounds (20M).  In both examples, 90 percent of production was covered by MPP.</w:t>
      </w:r>
    </w:p>
    <w:p w14:paraId="7B28FDC8" w14:textId="77777777" w:rsidR="00577E5A" w:rsidRDefault="00577E5A" w:rsidP="00577E5A">
      <w:pPr>
        <w:pStyle w:val="SubheadExtension"/>
      </w:pPr>
      <w:r>
        <w:t>#1: Only Catastrophic</w:t>
      </w:r>
    </w:p>
    <w:p w14:paraId="7B28FDC9" w14:textId="33F41173" w:rsidR="00577E5A" w:rsidRDefault="00B4550C" w:rsidP="00F24E9D">
      <w:pPr>
        <w:pStyle w:val="BodyTextExtension"/>
      </w:pPr>
      <w:r w:rsidRPr="00F24E9D">
        <w:t xml:space="preserve">The first strategy--choosing $4.00 catastrophic coverage every year--resulted in payments only </w:t>
      </w:r>
      <w:r w:rsidR="00CD43C8">
        <w:t>in 2009 and 2012</w:t>
      </w:r>
      <w:r w:rsidRPr="00F24E9D">
        <w:t>. From 200</w:t>
      </w:r>
      <w:r w:rsidR="00EF3393">
        <w:t>9</w:t>
      </w:r>
      <w:r w:rsidRPr="00F24E9D">
        <w:t xml:space="preserve"> to 201</w:t>
      </w:r>
      <w:r w:rsidR="00EF3393">
        <w:t>4</w:t>
      </w:r>
      <w:r w:rsidRPr="00F24E9D">
        <w:t>, both example herds would have averaged a $0.10/cwt/year payment. This strategy does not offer much protection, but the cost is very low with just the $100 per year administration fee.</w:t>
      </w:r>
    </w:p>
    <w:p w14:paraId="7B28FDCA" w14:textId="77777777" w:rsidR="00577E5A" w:rsidRDefault="00577E5A" w:rsidP="00577E5A">
      <w:pPr>
        <w:pStyle w:val="SubheadExtension"/>
      </w:pPr>
      <w:r>
        <w:t>#2: Risk Management</w:t>
      </w:r>
    </w:p>
    <w:p w14:paraId="05422FF6" w14:textId="220340A8" w:rsidR="00A257D9" w:rsidRDefault="00B4550C" w:rsidP="00A257D9">
      <w:pPr>
        <w:pStyle w:val="BodyTextExtension"/>
      </w:pPr>
      <w:r>
        <w:t xml:space="preserve">The second strategy </w:t>
      </w:r>
      <w:r w:rsidR="00ED479C">
        <w:t xml:space="preserve">is a risk management strategy and </w:t>
      </w:r>
      <w:r w:rsidR="00795E1F">
        <w:t>provides strong coverage at a low cost</w:t>
      </w:r>
      <w:r>
        <w:t xml:space="preserve">. </w:t>
      </w:r>
      <w:r w:rsidR="00795E1F">
        <w:t xml:space="preserve"> </w:t>
      </w:r>
      <w:r>
        <w:t xml:space="preserve">Premiums jump significantly </w:t>
      </w:r>
      <w:r w:rsidR="00795E1F">
        <w:t>past</w:t>
      </w:r>
      <w:r>
        <w:t xml:space="preserve"> the $6.50 coverage level shown in </w:t>
      </w:r>
      <w:r w:rsidR="00F24E9D">
        <w:t>figure 1</w:t>
      </w:r>
      <w:r>
        <w:t xml:space="preserve">. </w:t>
      </w:r>
    </w:p>
    <w:p w14:paraId="5442A4DF" w14:textId="354E2F70" w:rsidR="00A257D9" w:rsidRDefault="00A257D9" w:rsidP="00A257D9">
      <w:pPr>
        <w:pStyle w:val="CaptionExtension"/>
        <w:spacing w:before="0" w:after="240"/>
      </w:pPr>
      <w:r w:rsidRPr="00F24E9D">
        <w:t xml:space="preserve"> </w:t>
      </w:r>
      <w:r w:rsidRPr="00D43A67">
        <w:t>Fig.</w:t>
      </w:r>
      <w:r>
        <w:t>1</w:t>
      </w:r>
      <w:r w:rsidRPr="00D43A67">
        <w:t xml:space="preserve">: </w:t>
      </w:r>
      <w:r>
        <w:t>MPP Premium Rates</w:t>
      </w:r>
    </w:p>
    <w:p w14:paraId="505948A5" w14:textId="458B4651" w:rsidR="00583D02" w:rsidRDefault="00583D02" w:rsidP="00A257D9">
      <w:pPr>
        <w:pStyle w:val="CaptionExtension"/>
        <w:spacing w:before="0" w:after="240"/>
      </w:pPr>
      <w:r>
        <w:rPr>
          <w:noProof/>
          <w:lang w:eastAsia="en-US"/>
        </w:rPr>
        <w:drawing>
          <wp:inline distT="0" distB="0" distL="0" distR="0" wp14:anchorId="0B1572D6" wp14:editId="013B95CB">
            <wp:extent cx="2968388" cy="2197290"/>
            <wp:effectExtent l="0" t="0" r="2286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28FDCB" w14:textId="08A9C4C8" w:rsidR="00577E5A" w:rsidRPr="00F24E9D" w:rsidRDefault="00B4550C" w:rsidP="00F24E9D">
      <w:pPr>
        <w:pStyle w:val="BodyTextExtension"/>
      </w:pPr>
      <w:r w:rsidRPr="00F24E9D">
        <w:t>Enrolling at $6.50/cwt every year, payments would have been received in 2009, 2012 and 2013.  In 2010</w:t>
      </w:r>
      <w:r w:rsidR="00F47DD7">
        <w:t>,</w:t>
      </w:r>
      <w:r w:rsidR="00EF3393">
        <w:t xml:space="preserve"> </w:t>
      </w:r>
      <w:r w:rsidRPr="00F24E9D">
        <w:t>2011</w:t>
      </w:r>
      <w:r w:rsidR="00F47DD7">
        <w:t xml:space="preserve">, and 2014 </w:t>
      </w:r>
      <w:r w:rsidRPr="00F24E9D">
        <w:t xml:space="preserve">premiums would have been paid without receiving a payment. This resulted in a $0.54/cwt/year average payment for the 4M pound herd and </w:t>
      </w:r>
      <w:r w:rsidRPr="00F24E9D">
        <w:lastRenderedPageBreak/>
        <w:t>$0.</w:t>
      </w:r>
      <w:r w:rsidR="00EF3393">
        <w:t>40</w:t>
      </w:r>
      <w:r w:rsidRPr="00F24E9D">
        <w:t xml:space="preserve">/cwt/year for the 20M pound herd. Although this strategy doesn’t maximize payments, it does manage risk by covering the income gap in low margin years. This can be seen in figure </w:t>
      </w:r>
      <w:r w:rsidR="00F24E9D">
        <w:t>2</w:t>
      </w:r>
      <w:r w:rsidRPr="00F24E9D">
        <w:t xml:space="preserve"> </w:t>
      </w:r>
      <w:r w:rsidR="00234CA3">
        <w:t>(</w:t>
      </w:r>
      <w:r w:rsidRPr="00F24E9D">
        <w:t>provided by the National Milk Producers Federation</w:t>
      </w:r>
      <w:r w:rsidR="00234CA3">
        <w:t>)</w:t>
      </w:r>
      <w:r w:rsidRPr="00F24E9D">
        <w:t>.</w:t>
      </w:r>
    </w:p>
    <w:p w14:paraId="58736DD3" w14:textId="6A6A0227" w:rsidR="00F24E9D" w:rsidRDefault="00B4550C" w:rsidP="00F24E9D">
      <w:pPr>
        <w:pStyle w:val="CaptionExtension"/>
        <w:spacing w:before="0" w:after="240"/>
      </w:pPr>
      <w:r w:rsidRPr="00F24E9D">
        <w:rPr>
          <w:noProof/>
          <w:lang w:eastAsia="en-US"/>
        </w:rPr>
        <w:drawing>
          <wp:inline distT="0" distB="0" distL="0" distR="0" wp14:anchorId="09D6AF87" wp14:editId="45F72A50">
            <wp:extent cx="2971800" cy="2286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24E9D" w:rsidRPr="00F24E9D">
        <w:t xml:space="preserve"> </w:t>
      </w:r>
      <w:r w:rsidR="00F24E9D" w:rsidRPr="00D43A67">
        <w:t xml:space="preserve">Fig. </w:t>
      </w:r>
      <w:r w:rsidR="00F24E9D">
        <w:t>2</w:t>
      </w:r>
      <w:r w:rsidR="00F24E9D" w:rsidRPr="00D43A67">
        <w:t xml:space="preserve">: </w:t>
      </w:r>
      <w:r w:rsidR="00F24E9D">
        <w:t>2009 Dairy Production Margin</w:t>
      </w:r>
    </w:p>
    <w:p w14:paraId="7B28FDCC" w14:textId="77777777" w:rsidR="00577E5A" w:rsidRDefault="00577E5A" w:rsidP="00577E5A">
      <w:pPr>
        <w:pStyle w:val="SubheadExtension"/>
      </w:pPr>
      <w:r>
        <w:t>#3: Maximize Predicted Net Return</w:t>
      </w:r>
    </w:p>
    <w:p w14:paraId="36F22E35" w14:textId="65EDC222" w:rsidR="00B4550C" w:rsidRDefault="00B4550C" w:rsidP="00F24E9D">
      <w:pPr>
        <w:pStyle w:val="BodyTextExtension"/>
      </w:pPr>
      <w:r>
        <w:t>The third strategy uses the decision tool to select the coverage level each year that predicts the highest net return. The decision tool predicted buying $8.00 coverage from 2009 to 201</w:t>
      </w:r>
      <w:r w:rsidR="00492856">
        <w:t>4</w:t>
      </w:r>
      <w:r>
        <w:t xml:space="preserve"> for the 4M pound herd. The tool predicted average net returns at $0.62/cwt/year, but actual net returns would have been $0.</w:t>
      </w:r>
      <w:r w:rsidR="00492856">
        <w:t>81</w:t>
      </w:r>
      <w:r>
        <w:t>/cwt/year. This strategy would have resulted in the highest returns, but does require more analysis of the decision tool projections.</w:t>
      </w:r>
    </w:p>
    <w:p w14:paraId="03E37841" w14:textId="6A802D8C" w:rsidR="00B4550C" w:rsidRDefault="00B4550C" w:rsidP="00F24E9D">
      <w:pPr>
        <w:pStyle w:val="BodyTextExtension"/>
      </w:pPr>
      <w:r>
        <w:t>For the 20M</w:t>
      </w:r>
      <w:r w:rsidR="00234CA3">
        <w:t xml:space="preserve"> </w:t>
      </w:r>
      <w:r>
        <w:t>pound herd, the tool projected choosing catastrophic coverage in 20</w:t>
      </w:r>
      <w:r w:rsidR="00492856">
        <w:t>10 and 2014</w:t>
      </w:r>
      <w:r>
        <w:t xml:space="preserve">, selecting $8.00 coverage in 2011, and selecting $6.50 coverage in 2009, 2012 and 2013. The predicted return from this strategy was $0.25/cwt/year, but the actual return would have been $0.34/cwt/year. </w:t>
      </w:r>
    </w:p>
    <w:p w14:paraId="29FC21E7" w14:textId="2ADC2057" w:rsidR="00A257D9" w:rsidRDefault="00B4550C" w:rsidP="00F24E9D">
      <w:pPr>
        <w:pStyle w:val="BodyTextExtension"/>
      </w:pPr>
      <w:r>
        <w:t xml:space="preserve">Results for all three strategies are provided in figure </w:t>
      </w:r>
      <w:r w:rsidR="00F24E9D">
        <w:t>3</w:t>
      </w:r>
      <w:r w:rsidR="00234CA3">
        <w:t>. The highest return</w:t>
      </w:r>
      <w:r>
        <w:t xml:space="preserve"> for a 4M pound herd occur</w:t>
      </w:r>
      <w:r w:rsidR="00234CA3">
        <w:t>s</w:t>
      </w:r>
      <w:r>
        <w:t xml:space="preserve"> when using the third strategy</w:t>
      </w:r>
      <w:r w:rsidR="009A394D">
        <w:t>-</w:t>
      </w:r>
      <w:r>
        <w:t xml:space="preserve"> selecting the highest predicted payments for each year. </w:t>
      </w:r>
      <w:r w:rsidR="00234CA3">
        <w:t>F</w:t>
      </w:r>
      <w:r>
        <w:t xml:space="preserve">or the 20M pound herd, the risk management strategy, $6.50 </w:t>
      </w:r>
      <w:r>
        <w:lastRenderedPageBreak/>
        <w:t>coverage every year</w:t>
      </w:r>
      <w:r w:rsidR="009A394D">
        <w:t>,</w:t>
      </w:r>
      <w:r>
        <w:t xml:space="preserve"> results in the highest net returns.</w:t>
      </w:r>
    </w:p>
    <w:p w14:paraId="7B28FDCF" w14:textId="4F7275F0" w:rsidR="00577E5A" w:rsidRDefault="00575356" w:rsidP="00F24E9D">
      <w:pPr>
        <w:pStyle w:val="BodyTextExtension"/>
      </w:pPr>
      <w:r>
        <w:rPr>
          <w:noProof/>
          <w:lang w:bidi="ar-SA"/>
        </w:rPr>
        <w:drawing>
          <wp:inline distT="0" distB="0" distL="0" distR="0" wp14:anchorId="210C95A9" wp14:editId="05746A22">
            <wp:extent cx="2971800" cy="17335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28FDD0" w14:textId="7FE1857B" w:rsidR="00577E5A" w:rsidRDefault="00577E5A" w:rsidP="00577E5A">
      <w:pPr>
        <w:pStyle w:val="CaptionExtension"/>
        <w:spacing w:before="0" w:after="240"/>
      </w:pPr>
      <w:r w:rsidRPr="00D43A67">
        <w:t xml:space="preserve">Fig. </w:t>
      </w:r>
      <w:r w:rsidR="00F24E9D">
        <w:t>3</w:t>
      </w:r>
      <w:r w:rsidRPr="00D43A67">
        <w:t xml:space="preserve">: </w:t>
      </w:r>
      <w:r>
        <w:t>Net Returns for MPP Strategies</w:t>
      </w:r>
    </w:p>
    <w:p w14:paraId="710381A2" w14:textId="7146DA9F" w:rsidR="00234CA3" w:rsidRPr="00A257D9" w:rsidRDefault="00577E5A" w:rsidP="00577E5A">
      <w:pPr>
        <w:pStyle w:val="BodyTextExtension"/>
      </w:pPr>
      <w:r w:rsidRPr="00A257D9">
        <w:t xml:space="preserve">Regardless of the strategy, it’s important to figure out your </w:t>
      </w:r>
      <w:r w:rsidR="00234CA3" w:rsidRPr="00A257D9">
        <w:t>feed margin</w:t>
      </w:r>
      <w:r w:rsidR="00F24E9D" w:rsidRPr="00A257D9">
        <w:t>, which</w:t>
      </w:r>
      <w:r w:rsidRPr="00A257D9">
        <w:t xml:space="preserve"> can </w:t>
      </w:r>
      <w:r w:rsidR="00F24E9D" w:rsidRPr="00A257D9">
        <w:t xml:space="preserve">be </w:t>
      </w:r>
      <w:r w:rsidRPr="00A257D9">
        <w:t>use</w:t>
      </w:r>
      <w:r w:rsidR="00F24E9D" w:rsidRPr="00A257D9">
        <w:t>d</w:t>
      </w:r>
      <w:r w:rsidRPr="00A257D9">
        <w:t xml:space="preserve"> to calculate your MPP coverage needs.  </w:t>
      </w:r>
      <w:r w:rsidR="00D74363">
        <w:t>MPP is calculated after feed has been paid, which means that it is protecting what is left to pay non-feed costs.  In order to maximize your protection</w:t>
      </w:r>
      <w:r w:rsidR="00F43463">
        <w:t xml:space="preserve"> while minimizing your MPP costs, calculate your feed margin to figure out your MPP coverage.</w:t>
      </w:r>
    </w:p>
    <w:p w14:paraId="7B28FDD1" w14:textId="12ABC959" w:rsidR="00577E5A" w:rsidRDefault="00577E5A" w:rsidP="00E744A1">
      <w:pPr>
        <w:pStyle w:val="BodyTextExtension"/>
        <w:spacing w:after="0"/>
        <w:rPr>
          <w:noProof/>
          <w:lang w:bidi="ar-SA"/>
        </w:rPr>
      </w:pPr>
      <w:r w:rsidRPr="00A257D9">
        <w:t xml:space="preserve">To </w:t>
      </w:r>
      <w:r w:rsidR="00A257D9" w:rsidRPr="00A257D9">
        <w:t>calculate your feed margin</w:t>
      </w:r>
      <w:r w:rsidRPr="00A257D9">
        <w:t xml:space="preserve">, subtract your feed cost from </w:t>
      </w:r>
      <w:r w:rsidR="00E744A1">
        <w:t>your</w:t>
      </w:r>
      <w:r w:rsidRPr="00A257D9">
        <w:t xml:space="preserve"> milk price.  </w:t>
      </w:r>
      <w:r w:rsidR="002E0056" w:rsidRPr="00A257D9">
        <w:t>S</w:t>
      </w:r>
      <w:r w:rsidRPr="00A257D9">
        <w:t xml:space="preserve">ubtract the national MPP margin </w:t>
      </w:r>
      <w:r w:rsidR="002E0056" w:rsidRPr="00A257D9">
        <w:t xml:space="preserve">from your </w:t>
      </w:r>
      <w:r w:rsidR="00234CA3" w:rsidRPr="00A257D9">
        <w:t>feed margin</w:t>
      </w:r>
      <w:r w:rsidR="002E0056" w:rsidRPr="00A257D9">
        <w:t xml:space="preserve"> </w:t>
      </w:r>
      <w:r w:rsidRPr="00A257D9">
        <w:t xml:space="preserve">to </w:t>
      </w:r>
      <w:r w:rsidR="002E0056" w:rsidRPr="00A257D9">
        <w:t>get</w:t>
      </w:r>
      <w:r w:rsidRPr="00A257D9">
        <w:t xml:space="preserve"> your adjustment.  This is the amount over/under the national margin </w:t>
      </w:r>
      <w:r w:rsidR="00234CA3" w:rsidRPr="00A257D9">
        <w:t>that</w:t>
      </w:r>
      <w:r w:rsidRPr="00A257D9">
        <w:t xml:space="preserve"> is available to pay non-feed costs.  Subtract this adjustment from your non-feed costs to arrive at the </w:t>
      </w:r>
      <w:r w:rsidR="008C0ACF" w:rsidRPr="00A257D9">
        <w:t xml:space="preserve">MPP </w:t>
      </w:r>
      <w:r w:rsidRPr="00A257D9">
        <w:t xml:space="preserve">coverage level </w:t>
      </w:r>
      <w:r w:rsidR="00A257D9" w:rsidRPr="00A257D9">
        <w:t>needed</w:t>
      </w:r>
      <w:r w:rsidRPr="00A257D9">
        <w:t>.  Note</w:t>
      </w:r>
      <w:r w:rsidR="00845B93" w:rsidRPr="00A257D9">
        <w:t xml:space="preserve">: </w:t>
      </w:r>
      <w:r w:rsidR="008C0ACF" w:rsidRPr="00A257D9">
        <w:t>this calculation covers 100% of your production.  However, MPP covers a max of 90%</w:t>
      </w:r>
      <w:r w:rsidRPr="00A257D9">
        <w:t xml:space="preserve"> so you’ll need to divide this by .9 (90%) to calculate the coverage</w:t>
      </w:r>
      <w:r w:rsidR="00A257D9" w:rsidRPr="00A257D9">
        <w:t xml:space="preserve"> level needed</w:t>
      </w:r>
      <w:r w:rsidRPr="00A257D9">
        <w:t xml:space="preserve"> to cover all of your </w:t>
      </w:r>
      <w:r w:rsidR="008F6D2C">
        <w:t xml:space="preserve">non-feed </w:t>
      </w:r>
      <w:r w:rsidRPr="00A257D9">
        <w:t>costs.  The values</w:t>
      </w:r>
      <w:r w:rsidR="002E0056" w:rsidRPr="00A257D9">
        <w:t xml:space="preserve">, </w:t>
      </w:r>
      <w:r w:rsidR="00E744A1">
        <w:t xml:space="preserve">presented in </w:t>
      </w:r>
      <w:r w:rsidR="002E0056" w:rsidRPr="00A257D9">
        <w:t xml:space="preserve">table </w:t>
      </w:r>
      <w:r w:rsidR="00BE182D" w:rsidRPr="00A257D9">
        <w:t>1</w:t>
      </w:r>
      <w:r w:rsidR="002E0056" w:rsidRPr="00A257D9">
        <w:t>,</w:t>
      </w:r>
      <w:r w:rsidRPr="00A257D9">
        <w:t xml:space="preserve"> were calculated </w:t>
      </w:r>
      <w:r w:rsidR="002E0056" w:rsidRPr="00A257D9">
        <w:t>from FINBIN data.</w:t>
      </w:r>
      <w:r w:rsidR="00C57A3D" w:rsidRPr="00C57A3D">
        <w:rPr>
          <w:noProof/>
          <w:lang w:bidi="ar-SA"/>
        </w:rPr>
        <w:t xml:space="preserve"> </w:t>
      </w:r>
      <w:r w:rsidR="00E744A1">
        <w:rPr>
          <w:noProof/>
          <w:lang w:bidi="ar-SA"/>
        </w:rPr>
        <w:t xml:space="preserve">  </w:t>
      </w:r>
    </w:p>
    <w:tbl>
      <w:tblPr>
        <w:tblW w:w="0" w:type="auto"/>
        <w:jc w:val="center"/>
        <w:tblBorders>
          <w:top w:val="single" w:sz="6" w:space="0" w:color="7A0019" w:themeColor="accent1"/>
          <w:left w:val="single" w:sz="6" w:space="0" w:color="7A0019" w:themeColor="accent1"/>
          <w:bottom w:val="single" w:sz="6" w:space="0" w:color="7A0019" w:themeColor="accent1"/>
          <w:right w:val="single" w:sz="6" w:space="0" w:color="7A0019" w:themeColor="accent1"/>
          <w:insideH w:val="single" w:sz="6" w:space="0" w:color="7A0019" w:themeColor="accent1"/>
          <w:insideV w:val="single" w:sz="6" w:space="0" w:color="7A0019" w:themeColor="accent1"/>
        </w:tblBorders>
        <w:tblLayout w:type="fixed"/>
        <w:tblCellMar>
          <w:left w:w="0" w:type="dxa"/>
          <w:right w:w="0" w:type="dxa"/>
        </w:tblCellMar>
        <w:tblLook w:val="0000" w:firstRow="0" w:lastRow="0" w:firstColumn="0" w:lastColumn="0" w:noHBand="0" w:noVBand="0"/>
      </w:tblPr>
      <w:tblGrid>
        <w:gridCol w:w="2342"/>
        <w:gridCol w:w="980"/>
      </w:tblGrid>
      <w:tr w:rsidR="00577E5A" w:rsidRPr="00822407" w14:paraId="7B28FDD3" w14:textId="77777777" w:rsidTr="00BE182D">
        <w:trPr>
          <w:trHeight w:val="307"/>
          <w:jc w:val="center"/>
        </w:trPr>
        <w:tc>
          <w:tcPr>
            <w:tcW w:w="3322" w:type="dxa"/>
            <w:gridSpan w:val="2"/>
            <w:shd w:val="clear" w:color="auto" w:fill="7A0019" w:themeFill="accent1"/>
            <w:tcMar>
              <w:top w:w="80" w:type="dxa"/>
              <w:left w:w="80" w:type="dxa"/>
              <w:bottom w:w="80" w:type="dxa"/>
              <w:right w:w="80" w:type="dxa"/>
            </w:tcMar>
          </w:tcPr>
          <w:p w14:paraId="7B28FDD2" w14:textId="2E21B9DC" w:rsidR="00577E5A" w:rsidRPr="00577E5A" w:rsidRDefault="00577E5A" w:rsidP="00BE182D">
            <w:pPr>
              <w:rPr>
                <w:rFonts w:asciiTheme="majorHAnsi" w:hAnsiTheme="majorHAnsi" w:cs="EXTDINOT-Medium"/>
                <w:bCs/>
                <w:caps/>
                <w:outline/>
                <w:color w:val="FFFFFF" w:themeColor="background1"/>
                <w14:textOutline w14:w="9525" w14:cap="flat" w14:cmpd="sng" w14:algn="ctr">
                  <w14:solidFill>
                    <w14:schemeClr w14:val="bg1"/>
                  </w14:solidFill>
                  <w14:prstDash w14:val="solid"/>
                  <w14:round/>
                </w14:textOutline>
                <w14:textFill>
                  <w14:noFill/>
                </w14:textFill>
              </w:rPr>
            </w:pPr>
            <w:r w:rsidRPr="00CD2230">
              <w:rPr>
                <w:rFonts w:asciiTheme="majorHAnsi" w:hAnsiTheme="majorHAnsi" w:cs="EXTDINOT-Medium"/>
                <w:b/>
                <w:bCs/>
                <w:color w:val="FFCC33" w:themeColor="accent2"/>
              </w:rPr>
              <w:lastRenderedPageBreak/>
              <w:t xml:space="preserve">Table </w:t>
            </w:r>
            <w:r w:rsidR="00BE182D">
              <w:rPr>
                <w:rFonts w:asciiTheme="majorHAnsi" w:hAnsiTheme="majorHAnsi" w:cs="EXTDINOT-Medium"/>
                <w:b/>
                <w:bCs/>
                <w:color w:val="FFCC33" w:themeColor="accent2"/>
              </w:rPr>
              <w:t>1</w:t>
            </w:r>
            <w:r w:rsidRPr="00CD2230">
              <w:rPr>
                <w:rFonts w:asciiTheme="majorHAnsi" w:hAnsiTheme="majorHAnsi" w:cs="EXTDINOT-Medium"/>
                <w:b/>
                <w:bCs/>
                <w:color w:val="FFCC33" w:themeColor="accent2"/>
              </w:rPr>
              <w:t>:</w:t>
            </w:r>
            <w:r w:rsidRPr="00CD2230">
              <w:t xml:space="preserve"> </w:t>
            </w:r>
            <w:r>
              <w:rPr>
                <w:rFonts w:asciiTheme="majorHAnsi" w:hAnsiTheme="majorHAnsi" w:cs="EXTDINOT-Medium"/>
                <w:bCs/>
                <w:color w:val="FFFFFF" w:themeColor="background1"/>
                <w:sz w:val="19"/>
                <w:szCs w:val="19"/>
              </w:rPr>
              <w:t>MPP vs MN Margin.</w:t>
            </w:r>
          </w:p>
        </w:tc>
      </w:tr>
      <w:tr w:rsidR="00577E5A" w:rsidRPr="00822407" w14:paraId="7B28FDD6" w14:textId="77777777" w:rsidTr="00BE182D">
        <w:trPr>
          <w:trHeight w:hRule="exact" w:val="259"/>
          <w:jc w:val="center"/>
        </w:trPr>
        <w:tc>
          <w:tcPr>
            <w:tcW w:w="2342" w:type="dxa"/>
            <w:tcMar>
              <w:top w:w="80" w:type="dxa"/>
              <w:left w:w="80" w:type="dxa"/>
              <w:bottom w:w="80" w:type="dxa"/>
              <w:right w:w="80" w:type="dxa"/>
            </w:tcMar>
          </w:tcPr>
          <w:p w14:paraId="7B28FDD4" w14:textId="77777777"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xml:space="preserve">  Milk/cwt</w:t>
            </w:r>
          </w:p>
        </w:tc>
        <w:tc>
          <w:tcPr>
            <w:tcW w:w="980" w:type="dxa"/>
            <w:tcMar>
              <w:top w:w="80" w:type="dxa"/>
              <w:left w:w="80" w:type="dxa"/>
              <w:bottom w:w="80" w:type="dxa"/>
              <w:right w:w="80" w:type="dxa"/>
            </w:tcMar>
          </w:tcPr>
          <w:p w14:paraId="7B28FDD5" w14:textId="748D172C" w:rsidR="00577E5A" w:rsidRPr="00822407" w:rsidRDefault="008F6D2C" w:rsidP="006430A1">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w:t>
            </w:r>
            <w:r w:rsidR="006430A1">
              <w:rPr>
                <w:rFonts w:asciiTheme="majorHAnsi" w:hAnsiTheme="majorHAnsi" w:cs="HelveticaNeueLTStd-Roman"/>
                <w:caps/>
                <w:color w:val="820024"/>
                <w:spacing w:val="5"/>
                <w:sz w:val="16"/>
                <w:szCs w:val="16"/>
              </w:rPr>
              <w:t>19.19</w:t>
            </w:r>
          </w:p>
        </w:tc>
      </w:tr>
      <w:tr w:rsidR="00577E5A" w:rsidRPr="00822407" w14:paraId="7B28FDD9" w14:textId="77777777" w:rsidTr="00BE182D">
        <w:trPr>
          <w:trHeight w:hRule="exact" w:val="259"/>
          <w:jc w:val="center"/>
        </w:trPr>
        <w:tc>
          <w:tcPr>
            <w:tcW w:w="2342" w:type="dxa"/>
            <w:tcMar>
              <w:top w:w="80" w:type="dxa"/>
              <w:left w:w="80" w:type="dxa"/>
              <w:bottom w:w="80" w:type="dxa"/>
              <w:right w:w="80" w:type="dxa"/>
            </w:tcMar>
          </w:tcPr>
          <w:p w14:paraId="7B28FDD7" w14:textId="77777777"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Feed/cwt</w:t>
            </w:r>
          </w:p>
        </w:tc>
        <w:tc>
          <w:tcPr>
            <w:tcW w:w="980" w:type="dxa"/>
            <w:tcMar>
              <w:top w:w="80" w:type="dxa"/>
              <w:left w:w="80" w:type="dxa"/>
              <w:bottom w:w="80" w:type="dxa"/>
              <w:right w:w="80" w:type="dxa"/>
            </w:tcMar>
          </w:tcPr>
          <w:p w14:paraId="7B28FDD8" w14:textId="63BEE21A" w:rsidR="00577E5A" w:rsidRPr="00822407" w:rsidRDefault="006430A1" w:rsidP="00BE182D">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9.12</w:t>
            </w:r>
          </w:p>
        </w:tc>
      </w:tr>
      <w:tr w:rsidR="00577E5A" w:rsidRPr="00822407" w14:paraId="7B28FDDC" w14:textId="77777777" w:rsidTr="00BE182D">
        <w:trPr>
          <w:trHeight w:hRule="exact" w:val="259"/>
          <w:jc w:val="center"/>
        </w:trPr>
        <w:tc>
          <w:tcPr>
            <w:tcW w:w="2342" w:type="dxa"/>
            <w:tcMar>
              <w:top w:w="80" w:type="dxa"/>
              <w:left w:w="80" w:type="dxa"/>
              <w:bottom w:w="80" w:type="dxa"/>
              <w:right w:w="80" w:type="dxa"/>
            </w:tcMar>
          </w:tcPr>
          <w:p w14:paraId="7B28FDDA" w14:textId="51AC206B"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xml:space="preserve">= </w:t>
            </w:r>
            <w:r w:rsidR="00234CA3">
              <w:rPr>
                <w:rFonts w:asciiTheme="majorHAnsi" w:hAnsiTheme="majorHAnsi" w:cs="HelveticaNeueLTStd-Roman"/>
                <w:caps/>
                <w:color w:val="820024"/>
                <w:spacing w:val="5"/>
                <w:sz w:val="16"/>
                <w:szCs w:val="16"/>
              </w:rPr>
              <w:t xml:space="preserve">Feed </w:t>
            </w:r>
            <w:r>
              <w:rPr>
                <w:rFonts w:asciiTheme="majorHAnsi" w:hAnsiTheme="majorHAnsi" w:cs="HelveticaNeueLTStd-Roman"/>
                <w:caps/>
                <w:color w:val="820024"/>
                <w:spacing w:val="5"/>
                <w:sz w:val="16"/>
                <w:szCs w:val="16"/>
              </w:rPr>
              <w:t>margin</w:t>
            </w:r>
          </w:p>
        </w:tc>
        <w:tc>
          <w:tcPr>
            <w:tcW w:w="980" w:type="dxa"/>
            <w:tcMar>
              <w:top w:w="80" w:type="dxa"/>
              <w:left w:w="80" w:type="dxa"/>
              <w:bottom w:w="80" w:type="dxa"/>
              <w:right w:w="80" w:type="dxa"/>
            </w:tcMar>
          </w:tcPr>
          <w:p w14:paraId="7B28FDDB" w14:textId="2CF4E7AC" w:rsidR="00577E5A" w:rsidRPr="00822407" w:rsidRDefault="006430A1" w:rsidP="00BE182D">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10.07</w:t>
            </w:r>
          </w:p>
        </w:tc>
      </w:tr>
      <w:tr w:rsidR="00577E5A" w:rsidRPr="00822407" w14:paraId="7B28FDDF" w14:textId="77777777" w:rsidTr="00BE182D">
        <w:trPr>
          <w:trHeight w:hRule="exact" w:val="259"/>
          <w:jc w:val="center"/>
        </w:trPr>
        <w:tc>
          <w:tcPr>
            <w:tcW w:w="2342" w:type="dxa"/>
            <w:tcMar>
              <w:top w:w="80" w:type="dxa"/>
              <w:left w:w="80" w:type="dxa"/>
              <w:bottom w:w="80" w:type="dxa"/>
              <w:right w:w="80" w:type="dxa"/>
            </w:tcMar>
          </w:tcPr>
          <w:p w14:paraId="7B28FDDD" w14:textId="77777777"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MPP Margin</w:t>
            </w:r>
          </w:p>
        </w:tc>
        <w:tc>
          <w:tcPr>
            <w:tcW w:w="980" w:type="dxa"/>
            <w:tcMar>
              <w:top w:w="80" w:type="dxa"/>
              <w:left w:w="80" w:type="dxa"/>
              <w:bottom w:w="80" w:type="dxa"/>
              <w:right w:w="80" w:type="dxa"/>
            </w:tcMar>
          </w:tcPr>
          <w:p w14:paraId="7B28FDDE" w14:textId="4A687E5C" w:rsidR="00577E5A" w:rsidRPr="00822407" w:rsidRDefault="006430A1" w:rsidP="00BE182D">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7.91</w:t>
            </w:r>
          </w:p>
        </w:tc>
      </w:tr>
      <w:tr w:rsidR="00577E5A" w:rsidRPr="00822407" w14:paraId="7B28FDE2" w14:textId="77777777" w:rsidTr="00BE182D">
        <w:trPr>
          <w:trHeight w:hRule="exact" w:val="259"/>
          <w:jc w:val="center"/>
        </w:trPr>
        <w:tc>
          <w:tcPr>
            <w:tcW w:w="2342" w:type="dxa"/>
            <w:tcMar>
              <w:top w:w="80" w:type="dxa"/>
              <w:left w:w="80" w:type="dxa"/>
              <w:bottom w:w="80" w:type="dxa"/>
              <w:right w:w="80" w:type="dxa"/>
            </w:tcMar>
          </w:tcPr>
          <w:p w14:paraId="7B28FDE0" w14:textId="77777777"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MN adj.</w:t>
            </w:r>
          </w:p>
        </w:tc>
        <w:tc>
          <w:tcPr>
            <w:tcW w:w="980" w:type="dxa"/>
            <w:tcMar>
              <w:top w:w="80" w:type="dxa"/>
              <w:left w:w="80" w:type="dxa"/>
              <w:bottom w:w="80" w:type="dxa"/>
              <w:right w:w="80" w:type="dxa"/>
            </w:tcMar>
          </w:tcPr>
          <w:p w14:paraId="7B28FDE1" w14:textId="25C47733" w:rsidR="00577E5A" w:rsidRPr="00822407" w:rsidRDefault="00577E5A">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2.</w:t>
            </w:r>
            <w:r w:rsidR="006430A1">
              <w:rPr>
                <w:rFonts w:asciiTheme="majorHAnsi" w:hAnsiTheme="majorHAnsi" w:cs="HelveticaNeueLTStd-Roman"/>
                <w:caps/>
                <w:color w:val="820024"/>
                <w:spacing w:val="5"/>
                <w:sz w:val="16"/>
                <w:szCs w:val="16"/>
              </w:rPr>
              <w:t>16</w:t>
            </w:r>
          </w:p>
        </w:tc>
      </w:tr>
      <w:tr w:rsidR="00577E5A" w:rsidRPr="00822407" w14:paraId="7B28FDE5" w14:textId="77777777" w:rsidTr="00486B61">
        <w:trPr>
          <w:trHeight w:hRule="exact" w:val="20"/>
          <w:jc w:val="center"/>
        </w:trPr>
        <w:tc>
          <w:tcPr>
            <w:tcW w:w="2342" w:type="dxa"/>
            <w:shd w:val="clear" w:color="auto" w:fill="FFCC33" w:themeFill="accent2"/>
            <w:tcMar>
              <w:top w:w="80" w:type="dxa"/>
              <w:left w:w="80" w:type="dxa"/>
              <w:bottom w:w="80" w:type="dxa"/>
              <w:right w:w="80" w:type="dxa"/>
            </w:tcMar>
          </w:tcPr>
          <w:p w14:paraId="7B28FDE3" w14:textId="77777777" w:rsidR="00577E5A" w:rsidRPr="00822407" w:rsidRDefault="00577E5A" w:rsidP="00BE182D">
            <w:pPr>
              <w:autoSpaceDE w:val="0"/>
              <w:autoSpaceDN w:val="0"/>
              <w:adjustRightInd w:val="0"/>
              <w:textAlignment w:val="center"/>
              <w:rPr>
                <w:rFonts w:asciiTheme="majorHAnsi" w:hAnsiTheme="majorHAnsi"/>
                <w:b/>
                <w:bCs/>
                <w:caps/>
                <w:color w:val="820024"/>
                <w:spacing w:val="5"/>
                <w:sz w:val="16"/>
                <w:szCs w:val="16"/>
              </w:rPr>
            </w:pPr>
          </w:p>
        </w:tc>
        <w:tc>
          <w:tcPr>
            <w:tcW w:w="980" w:type="dxa"/>
            <w:shd w:val="clear" w:color="auto" w:fill="FFCC33" w:themeFill="accent2"/>
            <w:tcMar>
              <w:top w:w="80" w:type="dxa"/>
              <w:left w:w="80" w:type="dxa"/>
              <w:bottom w:w="80" w:type="dxa"/>
              <w:right w:w="80" w:type="dxa"/>
            </w:tcMar>
          </w:tcPr>
          <w:p w14:paraId="7B28FDE4" w14:textId="77777777" w:rsidR="00577E5A" w:rsidRPr="00822407" w:rsidRDefault="00577E5A" w:rsidP="00BE182D">
            <w:pPr>
              <w:autoSpaceDE w:val="0"/>
              <w:autoSpaceDN w:val="0"/>
              <w:adjustRightInd w:val="0"/>
              <w:jc w:val="right"/>
              <w:textAlignment w:val="center"/>
              <w:rPr>
                <w:rFonts w:asciiTheme="majorHAnsi" w:hAnsiTheme="majorHAnsi"/>
                <w:b/>
                <w:bCs/>
                <w:caps/>
                <w:color w:val="820024"/>
                <w:spacing w:val="5"/>
                <w:sz w:val="16"/>
                <w:szCs w:val="16"/>
              </w:rPr>
            </w:pPr>
          </w:p>
        </w:tc>
      </w:tr>
      <w:tr w:rsidR="00577E5A" w:rsidRPr="00822407" w14:paraId="7B28FDE8" w14:textId="77777777" w:rsidTr="00BE182D">
        <w:trPr>
          <w:trHeight w:hRule="exact" w:val="259"/>
          <w:jc w:val="center"/>
        </w:trPr>
        <w:tc>
          <w:tcPr>
            <w:tcW w:w="2342" w:type="dxa"/>
            <w:tcMar>
              <w:top w:w="80" w:type="dxa"/>
              <w:left w:w="80" w:type="dxa"/>
              <w:bottom w:w="80" w:type="dxa"/>
              <w:right w:w="80" w:type="dxa"/>
            </w:tcMar>
          </w:tcPr>
          <w:p w14:paraId="7B28FDE6" w14:textId="77777777" w:rsidR="00577E5A" w:rsidRPr="00822407" w:rsidRDefault="00577E5A" w:rsidP="00577E5A">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xml:space="preserve">   Non-ffed/cwt</w:t>
            </w:r>
          </w:p>
        </w:tc>
        <w:tc>
          <w:tcPr>
            <w:tcW w:w="980" w:type="dxa"/>
            <w:tcMar>
              <w:top w:w="80" w:type="dxa"/>
              <w:left w:w="80" w:type="dxa"/>
              <w:bottom w:w="80" w:type="dxa"/>
              <w:right w:w="80" w:type="dxa"/>
            </w:tcMar>
          </w:tcPr>
          <w:p w14:paraId="7B28FDE7" w14:textId="7D1DA8F4" w:rsidR="00577E5A" w:rsidRPr="00822407" w:rsidRDefault="00577E5A" w:rsidP="00577E5A">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8.</w:t>
            </w:r>
            <w:r w:rsidR="006430A1">
              <w:rPr>
                <w:rFonts w:asciiTheme="majorHAnsi" w:hAnsiTheme="majorHAnsi" w:cs="HelveticaNeueLTStd-Roman"/>
                <w:caps/>
                <w:color w:val="820024"/>
                <w:spacing w:val="5"/>
                <w:sz w:val="16"/>
                <w:szCs w:val="16"/>
              </w:rPr>
              <w:t>26</w:t>
            </w:r>
          </w:p>
        </w:tc>
      </w:tr>
      <w:tr w:rsidR="00577E5A" w:rsidRPr="00822407" w14:paraId="7B28FDEB" w14:textId="77777777" w:rsidTr="00BE182D">
        <w:trPr>
          <w:trHeight w:hRule="exact" w:val="259"/>
          <w:jc w:val="center"/>
        </w:trPr>
        <w:tc>
          <w:tcPr>
            <w:tcW w:w="2342" w:type="dxa"/>
            <w:tcMar>
              <w:top w:w="80" w:type="dxa"/>
              <w:left w:w="80" w:type="dxa"/>
              <w:bottom w:w="80" w:type="dxa"/>
              <w:right w:w="80" w:type="dxa"/>
            </w:tcMar>
          </w:tcPr>
          <w:p w14:paraId="7B28FDE9" w14:textId="77777777" w:rsidR="00577E5A" w:rsidRPr="00822407" w:rsidRDefault="00577E5A" w:rsidP="00577E5A">
            <w:pPr>
              <w:autoSpaceDE w:val="0"/>
              <w:autoSpaceDN w:val="0"/>
              <w:adjustRightInd w:val="0"/>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 MN adj.</w:t>
            </w:r>
          </w:p>
        </w:tc>
        <w:tc>
          <w:tcPr>
            <w:tcW w:w="980" w:type="dxa"/>
            <w:tcMar>
              <w:top w:w="80" w:type="dxa"/>
              <w:left w:w="80" w:type="dxa"/>
              <w:bottom w:w="80" w:type="dxa"/>
              <w:right w:w="80" w:type="dxa"/>
            </w:tcMar>
          </w:tcPr>
          <w:p w14:paraId="7B28FDEA" w14:textId="75E79924" w:rsidR="00577E5A" w:rsidRPr="00822407" w:rsidRDefault="00577E5A" w:rsidP="00577E5A">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caps/>
                <w:color w:val="820024"/>
                <w:spacing w:val="5"/>
                <w:sz w:val="16"/>
                <w:szCs w:val="16"/>
              </w:rPr>
              <w:t>2.</w:t>
            </w:r>
            <w:r w:rsidR="006430A1">
              <w:rPr>
                <w:rFonts w:asciiTheme="majorHAnsi" w:hAnsiTheme="majorHAnsi" w:cs="HelveticaNeueLTStd-Roman"/>
                <w:caps/>
                <w:color w:val="820024"/>
                <w:spacing w:val="5"/>
                <w:sz w:val="16"/>
                <w:szCs w:val="16"/>
              </w:rPr>
              <w:t>16</w:t>
            </w:r>
          </w:p>
        </w:tc>
      </w:tr>
      <w:tr w:rsidR="00577E5A" w:rsidRPr="00822407" w14:paraId="7B28FDEE" w14:textId="77777777" w:rsidTr="00BE182D">
        <w:trPr>
          <w:trHeight w:hRule="exact" w:val="259"/>
          <w:jc w:val="center"/>
        </w:trPr>
        <w:tc>
          <w:tcPr>
            <w:tcW w:w="2342" w:type="dxa"/>
            <w:tcMar>
              <w:top w:w="80" w:type="dxa"/>
              <w:left w:w="80" w:type="dxa"/>
              <w:bottom w:w="80" w:type="dxa"/>
              <w:right w:w="80" w:type="dxa"/>
            </w:tcMar>
          </w:tcPr>
          <w:p w14:paraId="7B28FDEC" w14:textId="77777777" w:rsidR="00577E5A" w:rsidRPr="000E7D0E" w:rsidRDefault="00577E5A" w:rsidP="00577E5A">
            <w:pPr>
              <w:autoSpaceDE w:val="0"/>
              <w:autoSpaceDN w:val="0"/>
              <w:adjustRightInd w:val="0"/>
              <w:textAlignment w:val="center"/>
              <w:rPr>
                <w:rFonts w:asciiTheme="majorHAnsi" w:hAnsiTheme="majorHAnsi"/>
                <w:b/>
                <w:bCs/>
                <w:caps/>
                <w:color w:val="820024"/>
                <w:spacing w:val="5"/>
                <w:sz w:val="16"/>
                <w:szCs w:val="16"/>
              </w:rPr>
            </w:pPr>
            <w:r w:rsidRPr="000E7D0E">
              <w:rPr>
                <w:rFonts w:asciiTheme="majorHAnsi" w:hAnsiTheme="majorHAnsi" w:cs="HelveticaNeueLTStd-Roman"/>
                <w:b/>
                <w:caps/>
                <w:color w:val="820024"/>
                <w:spacing w:val="5"/>
                <w:sz w:val="16"/>
                <w:szCs w:val="16"/>
              </w:rPr>
              <w:t>Mpp level needed</w:t>
            </w:r>
            <w:r>
              <w:rPr>
                <w:rFonts w:asciiTheme="majorHAnsi" w:hAnsiTheme="majorHAnsi" w:cs="HelveticaNeueLTStd-Roman"/>
                <w:b/>
                <w:caps/>
                <w:color w:val="820024"/>
                <w:spacing w:val="5"/>
                <w:sz w:val="16"/>
                <w:szCs w:val="16"/>
              </w:rPr>
              <w:t xml:space="preserve"> 100%</w:t>
            </w:r>
          </w:p>
        </w:tc>
        <w:tc>
          <w:tcPr>
            <w:tcW w:w="980" w:type="dxa"/>
            <w:tcMar>
              <w:top w:w="80" w:type="dxa"/>
              <w:left w:w="80" w:type="dxa"/>
              <w:bottom w:w="80" w:type="dxa"/>
              <w:right w:w="80" w:type="dxa"/>
            </w:tcMar>
          </w:tcPr>
          <w:p w14:paraId="7B28FDED" w14:textId="50EAE7B3" w:rsidR="00577E5A" w:rsidRPr="000E7D0E" w:rsidRDefault="006430A1" w:rsidP="00577E5A">
            <w:pPr>
              <w:autoSpaceDE w:val="0"/>
              <w:autoSpaceDN w:val="0"/>
              <w:adjustRightInd w:val="0"/>
              <w:jc w:val="right"/>
              <w:textAlignment w:val="center"/>
              <w:rPr>
                <w:rFonts w:asciiTheme="majorHAnsi" w:hAnsiTheme="majorHAnsi"/>
                <w:b/>
                <w:bCs/>
                <w:caps/>
                <w:color w:val="820024"/>
                <w:spacing w:val="5"/>
                <w:sz w:val="16"/>
                <w:szCs w:val="16"/>
              </w:rPr>
            </w:pPr>
            <w:r>
              <w:rPr>
                <w:rFonts w:asciiTheme="majorHAnsi" w:hAnsiTheme="majorHAnsi" w:cs="HelveticaNeueLTStd-Roman"/>
                <w:b/>
                <w:caps/>
                <w:color w:val="820024"/>
                <w:spacing w:val="5"/>
                <w:sz w:val="16"/>
                <w:szCs w:val="16"/>
              </w:rPr>
              <w:t>6.10</w:t>
            </w:r>
          </w:p>
        </w:tc>
      </w:tr>
      <w:tr w:rsidR="00577E5A" w:rsidRPr="00822407" w14:paraId="7B28FDF1" w14:textId="77777777" w:rsidTr="00BE182D">
        <w:trPr>
          <w:trHeight w:hRule="exact" w:val="259"/>
          <w:jc w:val="center"/>
        </w:trPr>
        <w:tc>
          <w:tcPr>
            <w:tcW w:w="2342" w:type="dxa"/>
            <w:tcMar>
              <w:top w:w="80" w:type="dxa"/>
              <w:left w:w="80" w:type="dxa"/>
              <w:bottom w:w="80" w:type="dxa"/>
              <w:right w:w="80" w:type="dxa"/>
            </w:tcMar>
          </w:tcPr>
          <w:p w14:paraId="7B28FDEF" w14:textId="77777777" w:rsidR="00577E5A" w:rsidRPr="000E7D0E" w:rsidRDefault="00577E5A" w:rsidP="00577E5A">
            <w:pPr>
              <w:autoSpaceDE w:val="0"/>
              <w:autoSpaceDN w:val="0"/>
              <w:adjustRightInd w:val="0"/>
              <w:textAlignment w:val="center"/>
              <w:rPr>
                <w:rFonts w:asciiTheme="majorHAnsi" w:hAnsiTheme="majorHAnsi" w:cs="HelveticaNeueLTStd-Roman"/>
                <w:b/>
                <w:caps/>
                <w:color w:val="820024"/>
                <w:spacing w:val="5"/>
                <w:sz w:val="16"/>
                <w:szCs w:val="16"/>
              </w:rPr>
            </w:pPr>
            <w:r>
              <w:rPr>
                <w:rFonts w:asciiTheme="majorHAnsi" w:hAnsiTheme="majorHAnsi" w:cs="HelveticaNeueLTStd-Roman"/>
                <w:b/>
                <w:caps/>
                <w:color w:val="820024"/>
                <w:spacing w:val="5"/>
                <w:sz w:val="16"/>
                <w:szCs w:val="16"/>
              </w:rPr>
              <w:t>MPP Level needed 90%</w:t>
            </w:r>
          </w:p>
        </w:tc>
        <w:tc>
          <w:tcPr>
            <w:tcW w:w="980" w:type="dxa"/>
            <w:tcMar>
              <w:top w:w="80" w:type="dxa"/>
              <w:left w:w="80" w:type="dxa"/>
              <w:bottom w:w="80" w:type="dxa"/>
              <w:right w:w="80" w:type="dxa"/>
            </w:tcMar>
          </w:tcPr>
          <w:p w14:paraId="17008FC7" w14:textId="5EC78DF9" w:rsidR="00577E5A" w:rsidRDefault="00577E5A">
            <w:pPr>
              <w:autoSpaceDE w:val="0"/>
              <w:autoSpaceDN w:val="0"/>
              <w:adjustRightInd w:val="0"/>
              <w:jc w:val="right"/>
              <w:textAlignment w:val="center"/>
              <w:rPr>
                <w:rFonts w:asciiTheme="majorHAnsi" w:hAnsiTheme="majorHAnsi" w:cs="HelveticaNeueLTStd-Roman"/>
                <w:b/>
                <w:caps/>
                <w:color w:val="820024"/>
                <w:spacing w:val="5"/>
                <w:sz w:val="16"/>
                <w:szCs w:val="16"/>
              </w:rPr>
            </w:pPr>
            <w:r>
              <w:rPr>
                <w:rFonts w:asciiTheme="majorHAnsi" w:hAnsiTheme="majorHAnsi" w:cs="HelveticaNeueLTStd-Roman"/>
                <w:b/>
                <w:caps/>
                <w:color w:val="820024"/>
                <w:spacing w:val="5"/>
                <w:sz w:val="16"/>
                <w:szCs w:val="16"/>
              </w:rPr>
              <w:t>6.</w:t>
            </w:r>
            <w:r w:rsidR="006430A1">
              <w:rPr>
                <w:rFonts w:asciiTheme="majorHAnsi" w:hAnsiTheme="majorHAnsi" w:cs="HelveticaNeueLTStd-Roman"/>
                <w:b/>
                <w:caps/>
                <w:color w:val="820024"/>
                <w:spacing w:val="5"/>
                <w:sz w:val="16"/>
                <w:szCs w:val="16"/>
              </w:rPr>
              <w:t>78</w:t>
            </w:r>
          </w:p>
          <w:p w14:paraId="7B28FDF0" w14:textId="6CD3DE35" w:rsidR="006430A1" w:rsidRPr="000E7D0E" w:rsidRDefault="006430A1">
            <w:pPr>
              <w:autoSpaceDE w:val="0"/>
              <w:autoSpaceDN w:val="0"/>
              <w:adjustRightInd w:val="0"/>
              <w:jc w:val="right"/>
              <w:textAlignment w:val="center"/>
              <w:rPr>
                <w:rFonts w:asciiTheme="majorHAnsi" w:hAnsiTheme="majorHAnsi" w:cs="HelveticaNeueLTStd-Roman"/>
                <w:b/>
                <w:caps/>
                <w:color w:val="820024"/>
                <w:spacing w:val="5"/>
                <w:sz w:val="16"/>
                <w:szCs w:val="16"/>
              </w:rPr>
            </w:pPr>
          </w:p>
        </w:tc>
      </w:tr>
      <w:tr w:rsidR="00577E5A" w:rsidRPr="00822407" w14:paraId="7B28FDF4" w14:textId="77777777" w:rsidTr="00BE182D">
        <w:trPr>
          <w:trHeight w:hRule="exact" w:val="259"/>
          <w:jc w:val="center"/>
        </w:trPr>
        <w:tc>
          <w:tcPr>
            <w:tcW w:w="2342" w:type="dxa"/>
            <w:tcMar>
              <w:top w:w="80" w:type="dxa"/>
              <w:left w:w="80" w:type="dxa"/>
              <w:bottom w:w="80" w:type="dxa"/>
              <w:right w:w="80" w:type="dxa"/>
            </w:tcMar>
          </w:tcPr>
          <w:p w14:paraId="7B28FDF2" w14:textId="0B989266" w:rsidR="00577E5A" w:rsidRDefault="00577E5A" w:rsidP="00577E5A">
            <w:pPr>
              <w:autoSpaceDE w:val="0"/>
              <w:autoSpaceDN w:val="0"/>
              <w:adjustRightInd w:val="0"/>
              <w:textAlignment w:val="center"/>
              <w:rPr>
                <w:rFonts w:asciiTheme="majorHAnsi" w:hAnsiTheme="majorHAnsi" w:cs="HelveticaNeueLTStd-Roman"/>
                <w:caps/>
                <w:color w:val="820024"/>
                <w:spacing w:val="5"/>
                <w:sz w:val="16"/>
                <w:szCs w:val="16"/>
              </w:rPr>
            </w:pPr>
            <w:r>
              <w:rPr>
                <w:rFonts w:asciiTheme="majorHAnsi" w:hAnsiTheme="majorHAnsi" w:cs="HelveticaNeueLTStd-Roman"/>
                <w:caps/>
                <w:color w:val="820024"/>
                <w:spacing w:val="5"/>
                <w:sz w:val="16"/>
                <w:szCs w:val="16"/>
              </w:rPr>
              <w:t>#Farms-finbin</w:t>
            </w:r>
          </w:p>
        </w:tc>
        <w:tc>
          <w:tcPr>
            <w:tcW w:w="980" w:type="dxa"/>
            <w:tcMar>
              <w:top w:w="80" w:type="dxa"/>
              <w:left w:w="80" w:type="dxa"/>
              <w:bottom w:w="80" w:type="dxa"/>
              <w:right w:w="80" w:type="dxa"/>
            </w:tcMar>
          </w:tcPr>
          <w:p w14:paraId="7B28FDF3" w14:textId="289E8265" w:rsidR="00577E5A" w:rsidRDefault="006430A1" w:rsidP="00577E5A">
            <w:pPr>
              <w:autoSpaceDE w:val="0"/>
              <w:autoSpaceDN w:val="0"/>
              <w:adjustRightInd w:val="0"/>
              <w:jc w:val="right"/>
              <w:textAlignment w:val="center"/>
              <w:rPr>
                <w:rFonts w:asciiTheme="majorHAnsi" w:hAnsiTheme="majorHAnsi" w:cs="HelveticaNeueLTStd-Roman"/>
                <w:caps/>
                <w:color w:val="820024"/>
                <w:spacing w:val="5"/>
                <w:sz w:val="16"/>
                <w:szCs w:val="16"/>
              </w:rPr>
            </w:pPr>
            <w:r>
              <w:rPr>
                <w:rFonts w:asciiTheme="majorHAnsi" w:hAnsiTheme="majorHAnsi" w:cs="HelveticaNeueLTStd-Roman"/>
                <w:caps/>
                <w:color w:val="820024"/>
                <w:spacing w:val="5"/>
                <w:sz w:val="16"/>
                <w:szCs w:val="16"/>
              </w:rPr>
              <w:t>2</w:t>
            </w:r>
            <w:r w:rsidR="000434EA">
              <w:rPr>
                <w:rFonts w:asciiTheme="majorHAnsi" w:hAnsiTheme="majorHAnsi" w:cs="HelveticaNeueLTStd-Roman"/>
                <w:caps/>
                <w:color w:val="820024"/>
                <w:spacing w:val="5"/>
                <w:sz w:val="16"/>
                <w:szCs w:val="16"/>
              </w:rPr>
              <w:t>,</w:t>
            </w:r>
            <w:r>
              <w:rPr>
                <w:rFonts w:asciiTheme="majorHAnsi" w:hAnsiTheme="majorHAnsi" w:cs="HelveticaNeueLTStd-Roman"/>
                <w:caps/>
                <w:color w:val="820024"/>
                <w:spacing w:val="5"/>
                <w:sz w:val="16"/>
                <w:szCs w:val="16"/>
              </w:rPr>
              <w:t>745</w:t>
            </w:r>
          </w:p>
        </w:tc>
      </w:tr>
    </w:tbl>
    <w:p w14:paraId="7B28FDF5" w14:textId="77777777" w:rsidR="00577E5A" w:rsidRDefault="00577E5A" w:rsidP="00577E5A">
      <w:pPr>
        <w:pStyle w:val="Heading3Extension"/>
      </w:pPr>
      <w:r>
        <w:t>final thoughts</w:t>
      </w:r>
    </w:p>
    <w:p w14:paraId="581C43D8" w14:textId="313BDC49" w:rsidR="00827ABA" w:rsidRDefault="00827ABA" w:rsidP="00F24E9D">
      <w:pPr>
        <w:pStyle w:val="BodyTextExtension"/>
      </w:pPr>
      <w:r>
        <w:t xml:space="preserve">MPP is a risk management tool designed to provide protection for years like 2009. In years with high margins there will not be a payment, but overall MPP provides protection will help dairy farms minimize losses and stay in business. </w:t>
      </w:r>
    </w:p>
    <w:p w14:paraId="4EA38E3B" w14:textId="56DF5D50" w:rsidR="00A257D9" w:rsidRDefault="00A257D9" w:rsidP="00F24E9D">
      <w:pPr>
        <w:pStyle w:val="BodyTextExtension"/>
      </w:pPr>
      <w:r>
        <w:rPr>
          <w:noProof/>
          <w:lang w:bidi="ar-SA"/>
        </w:rPr>
        <mc:AlternateContent>
          <mc:Choice Requires="wps">
            <w:drawing>
              <wp:inline distT="0" distB="0" distL="0" distR="0" wp14:anchorId="520BA181" wp14:editId="233FA3D6">
                <wp:extent cx="2867025" cy="428625"/>
                <wp:effectExtent l="0" t="0" r="9525" b="9525"/>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4282B" w14:textId="77777777" w:rsidR="00F648A7" w:rsidRPr="006536D4" w:rsidRDefault="00F648A7" w:rsidP="00A257D9">
                            <w:pPr>
                              <w:pStyle w:val="Call-outtextwhiteExtension"/>
                              <w:shd w:val="clear" w:color="auto" w:fill="auto"/>
                            </w:pPr>
                            <w:r>
                              <w:t>Remember: MPP is a yearly decision, so you can change your strategy each year.</w:t>
                            </w:r>
                          </w:p>
                        </w:txbxContent>
                      </wps:txbx>
                      <wps:bodyPr rot="0" vert="horz" wrap="square" lIns="0" tIns="0" rIns="0" bIns="0" anchor="ctr" anchorCtr="0" upright="1">
                        <a:noAutofit/>
                      </wps:bodyPr>
                    </wps:wsp>
                  </a:graphicData>
                </a:graphic>
              </wp:inline>
            </w:drawing>
          </mc:Choice>
          <mc:Fallback>
            <w:pict>
              <v:shape id="Text Box 21" o:spid="_x0000_s1028" type="#_x0000_t202" style="width:225.75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" fillcolor="#7a0019 [3204]" stroked="f">
                <v:textbox inset="0,0,0,0">
                  <w:txbxContent>
                    <w:p w14:paraId="02E4282B" w14:textId="77777777" w:rsidR="00F648A7" w:rsidRPr="006536D4" w:rsidRDefault="00F648A7" w:rsidP="00A257D9">
                      <w:pPr>
                        <w:pStyle w:val="Call-outtextwhiteExtension"/>
                        <w:shd w:val="clear" w:color="auto" w:fill="auto"/>
                      </w:pPr>
                      <w:r>
                        <w:t>Remember: MPP is a yearly decision, so you can change your strategy each year.</w:t>
                      </w:r>
                    </w:p>
                  </w:txbxContent>
                </v:textbox>
                <w10:anchorlock/>
              </v:shape>
            </w:pict>
          </mc:Fallback>
        </mc:AlternateContent>
      </w:r>
    </w:p>
    <w:p w14:paraId="111E21F2" w14:textId="71EC448F" w:rsidR="0010025C" w:rsidRDefault="0010025C" w:rsidP="0010025C">
      <w:pPr>
        <w:pStyle w:val="SubheadExtension"/>
      </w:pPr>
      <w:r>
        <w:t>Important points to remember:</w:t>
      </w:r>
    </w:p>
    <w:p w14:paraId="7B28FDFA" w14:textId="4E3A5010" w:rsidR="00577E5A" w:rsidRDefault="00577E5A" w:rsidP="00577E5A">
      <w:pPr>
        <w:pStyle w:val="BullettextExtension"/>
        <w:spacing w:after="0"/>
      </w:pPr>
      <w:r>
        <w:t>MPP is a yearly decision</w:t>
      </w:r>
      <w:r w:rsidR="00A257D9">
        <w:t xml:space="preserve">.  </w:t>
      </w:r>
      <w:r w:rsidR="0064762A">
        <w:t>Coverage c</w:t>
      </w:r>
      <w:r>
        <w:t>hanges can be made each year</w:t>
      </w:r>
      <w:r w:rsidR="0064762A">
        <w:t>.</w:t>
      </w:r>
      <w:r>
        <w:t xml:space="preserve"> </w:t>
      </w:r>
      <w:r w:rsidR="00F648A7">
        <w:t xml:space="preserve"> </w:t>
      </w:r>
    </w:p>
    <w:p w14:paraId="7B28FDFC" w14:textId="67038BD3" w:rsidR="00577E5A" w:rsidRDefault="00577E5A" w:rsidP="00577E5A">
      <w:pPr>
        <w:pStyle w:val="BullettextExtension"/>
        <w:spacing w:after="0"/>
      </w:pPr>
      <w:r>
        <w:t xml:space="preserve">Know your </w:t>
      </w:r>
      <w:r w:rsidR="008C0ACF">
        <w:t>feed margin</w:t>
      </w:r>
    </w:p>
    <w:p w14:paraId="7B28FDFD" w14:textId="4D35F4C6" w:rsidR="00577E5A" w:rsidRDefault="00577E5A" w:rsidP="00577E5A">
      <w:pPr>
        <w:pStyle w:val="BullettextExtension"/>
        <w:spacing w:after="0"/>
      </w:pPr>
      <w:r>
        <w:t xml:space="preserve">Know your farm’s financial health and compare </w:t>
      </w:r>
      <w:r w:rsidR="00A257D9">
        <w:t>your farm</w:t>
      </w:r>
      <w:r>
        <w:t xml:space="preserve"> to </w:t>
      </w:r>
      <w:r w:rsidR="008C0ACF">
        <w:t>other MN dairies in FINBIN (FINBIN.umn.edu)</w:t>
      </w:r>
    </w:p>
    <w:p w14:paraId="7B28FE00" w14:textId="6931986D" w:rsidR="00577E5A" w:rsidRDefault="0064762A" w:rsidP="00C57A3D">
      <w:pPr>
        <w:pStyle w:val="SubheadExtension"/>
        <w:spacing w:before="120"/>
      </w:pPr>
      <w:r>
        <w:t xml:space="preserve">Useful </w:t>
      </w:r>
      <w:r w:rsidR="00577E5A">
        <w:t>Links</w:t>
      </w:r>
    </w:p>
    <w:p w14:paraId="2EB17FDD" w14:textId="77777777" w:rsidR="00C57A3D" w:rsidRPr="00C57A3D" w:rsidRDefault="00C57A3D" w:rsidP="00C57A3D">
      <w:pPr>
        <w:pStyle w:val="BullettextExtension"/>
        <w:spacing w:after="120"/>
        <w:rPr>
          <w:rStyle w:val="Hyperlink"/>
          <w:color w:val="auto"/>
          <w:u w:val="none"/>
        </w:rPr>
      </w:pPr>
      <w:r>
        <w:t xml:space="preserve">MPP Online training is available at </w:t>
      </w:r>
      <w:hyperlink r:id="rId15" w:history="1">
        <w:r w:rsidRPr="008C0ACF">
          <w:rPr>
            <w:rStyle w:val="Hyperlink"/>
          </w:rPr>
          <w:t>farmbill.umn.edu</w:t>
        </w:r>
      </w:hyperlink>
    </w:p>
    <w:p w14:paraId="7B28FE01" w14:textId="6358122D" w:rsidR="00577E5A" w:rsidRDefault="00137651" w:rsidP="00C57A3D">
      <w:pPr>
        <w:pStyle w:val="BullettextExtension"/>
        <w:spacing w:after="120"/>
      </w:pPr>
      <w:r>
        <w:rPr>
          <w:noProof/>
          <w:lang w:eastAsia="en-US"/>
        </w:rPr>
        <w:drawing>
          <wp:anchor distT="0" distB="91440" distL="114300" distR="114300" simplePos="0" relativeHeight="251669504" behindDoc="0" locked="0" layoutInCell="1" allowOverlap="1" wp14:anchorId="1055C170" wp14:editId="44BE470D">
            <wp:simplePos x="0" y="0"/>
            <wp:positionH relativeFrom="column">
              <wp:posOffset>-2362200</wp:posOffset>
            </wp:positionH>
            <wp:positionV relativeFrom="paragraph">
              <wp:posOffset>1685290</wp:posOffset>
            </wp:positionV>
            <wp:extent cx="1589405" cy="1054735"/>
            <wp:effectExtent l="0" t="0" r="0" b="0"/>
            <wp:wrapSquare wrapText="bothSides"/>
            <wp:docPr id="11" name="Picture 2" descr="cowtag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tag_sm.jpg"/>
                    <pic:cNvPicPr/>
                  </pic:nvPicPr>
                  <pic:blipFill>
                    <a:blip r:embed="rId16" cstate="print"/>
                    <a:stretch>
                      <a:fillRect/>
                    </a:stretch>
                  </pic:blipFill>
                  <pic:spPr>
                    <a:xfrm>
                      <a:off x="0" y="0"/>
                      <a:ext cx="1589405" cy="1054735"/>
                    </a:xfrm>
                    <a:prstGeom prst="rect">
                      <a:avLst/>
                    </a:prstGeom>
                  </pic:spPr>
                </pic:pic>
              </a:graphicData>
            </a:graphic>
            <wp14:sizeRelH relativeFrom="margin">
              <wp14:pctWidth>0</wp14:pctWidth>
            </wp14:sizeRelH>
            <wp14:sizeRelV relativeFrom="margin">
              <wp14:pctHeight>0</wp14:pctHeight>
            </wp14:sizeRelV>
          </wp:anchor>
        </w:drawing>
      </w:r>
      <w:r w:rsidR="00577E5A">
        <w:t xml:space="preserve">MPP Dairy Decision Tool:  </w:t>
      </w:r>
      <w:hyperlink r:id="rId17" w:history="1">
        <w:r w:rsidR="00577E5A" w:rsidRPr="000A5457">
          <w:rPr>
            <w:rStyle w:val="Hyperlink"/>
          </w:rPr>
          <w:t>www.fsa.usda.gov</w:t>
        </w:r>
      </w:hyperlink>
    </w:p>
    <w:p w14:paraId="7B28FE02" w14:textId="31479B33" w:rsidR="00577E5A" w:rsidRDefault="00577E5A" w:rsidP="00C57A3D">
      <w:pPr>
        <w:pStyle w:val="BullettextExtension"/>
        <w:spacing w:after="120"/>
      </w:pPr>
      <w:r>
        <w:t xml:space="preserve">UMN Extension Agricultural Business Management:  </w:t>
      </w:r>
      <w:hyperlink r:id="rId18" w:history="1">
        <w:r w:rsidRPr="00021EAB">
          <w:rPr>
            <w:rStyle w:val="Hyperlink"/>
          </w:rPr>
          <w:t>z.umn.edu/</w:t>
        </w:r>
        <w:proofErr w:type="spellStart"/>
        <w:r w:rsidRPr="00021EAB">
          <w:rPr>
            <w:rStyle w:val="Hyperlink"/>
          </w:rPr>
          <w:t>DairyFarmBill</w:t>
        </w:r>
        <w:proofErr w:type="spellEnd"/>
      </w:hyperlink>
    </w:p>
    <w:p w14:paraId="7B28FE04" w14:textId="313C9791" w:rsidR="00D43A67" w:rsidRPr="00D43A67" w:rsidRDefault="00577E5A" w:rsidP="00C57A3D">
      <w:pPr>
        <w:pStyle w:val="BullettextExtension"/>
        <w:spacing w:after="120"/>
      </w:pPr>
      <w:r>
        <w:t xml:space="preserve">Dairy Markets and Policy:  </w:t>
      </w:r>
      <w:hyperlink r:id="rId19" w:history="1">
        <w:r w:rsidRPr="000A5457">
          <w:rPr>
            <w:rStyle w:val="Hyperlink"/>
          </w:rPr>
          <w:t>www.dairymarkets.org</w:t>
        </w:r>
      </w:hyperlink>
      <w:r w:rsidR="00021EAB">
        <w:rPr>
          <w:noProof/>
          <w:lang w:eastAsia="en-US"/>
        </w:rPr>
        <mc:AlternateContent>
          <mc:Choice Requires="wps">
            <w:drawing>
              <wp:anchor distT="36576" distB="36576" distL="36576" distR="36576" simplePos="0" relativeHeight="251648000" behindDoc="0" locked="1" layoutInCell="1" allowOverlap="1" wp14:anchorId="7B28FE0D" wp14:editId="7B28FE0E">
                <wp:simplePos x="0" y="0"/>
                <wp:positionH relativeFrom="page">
                  <wp:posOffset>685800</wp:posOffset>
                </wp:positionH>
                <wp:positionV relativeFrom="page">
                  <wp:posOffset>9326880</wp:posOffset>
                </wp:positionV>
                <wp:extent cx="6643370" cy="471805"/>
                <wp:effectExtent l="0" t="1905"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370" cy="471805"/>
                        </a:xfrm>
                        <a:prstGeom prst="rect">
                          <a:avLst/>
                        </a:prstGeom>
                        <a:noFill/>
                        <a:ln>
                          <a:noFill/>
                        </a:ln>
                        <a:effectLst/>
                        <a:extLst>
                          <a:ext uri="{909E8E84-426E-40DD-AFC4-6F175D3DCCD1}">
                            <a14:hiddenFill xmlns:a14="http://schemas.microsoft.com/office/drawing/2010/main">
                              <a:solidFill>
                                <a:srgbClr val="000000">
                                  <a:alpha val="30000"/>
                                </a:srgbClr>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28FE1F" w14:textId="77777777" w:rsidR="00F648A7" w:rsidRPr="00385613" w:rsidRDefault="00F648A7" w:rsidP="00021EAB">
                            <w:proofErr w:type="gramStart"/>
                            <w:r>
                              <w:rPr>
                                <w:rFonts w:asciiTheme="majorHAnsi" w:eastAsia="Times New Roman" w:hAnsiTheme="majorHAnsi" w:cs="Arial"/>
                                <w:color w:val="000000"/>
                                <w:kern w:val="28"/>
                                <w:sz w:val="16"/>
                                <w:szCs w:val="16"/>
                                <w:lang w:eastAsia="en-US"/>
                              </w:rPr>
                              <w:t>© 2012</w:t>
                            </w:r>
                            <w:r w:rsidRPr="00385613">
                              <w:rPr>
                                <w:rFonts w:asciiTheme="majorHAnsi" w:eastAsia="Times New Roman" w:hAnsiTheme="majorHAnsi" w:cs="Arial"/>
                                <w:color w:val="000000"/>
                                <w:kern w:val="28"/>
                                <w:sz w:val="16"/>
                                <w:szCs w:val="16"/>
                                <w:lang w:eastAsia="en-US"/>
                              </w:rPr>
                              <w:t>, Regents of the University of Minnesota.</w:t>
                            </w:r>
                            <w:proofErr w:type="gramEnd"/>
                            <w:r w:rsidRPr="00385613">
                              <w:rPr>
                                <w:rFonts w:asciiTheme="majorHAnsi" w:eastAsia="Times New Roman" w:hAnsiTheme="majorHAnsi" w:cs="Arial"/>
                                <w:color w:val="000000"/>
                                <w:kern w:val="28"/>
                                <w:sz w:val="16"/>
                                <w:szCs w:val="16"/>
                                <w:lang w:eastAsia="en-US"/>
                              </w:rPr>
                              <w:t> University of Minnesota Extension is an equal opportunity educator and employer. In accordance with the Americ</w:t>
                            </w:r>
                            <w:r>
                              <w:rPr>
                                <w:rFonts w:asciiTheme="majorHAnsi" w:eastAsia="Times New Roman" w:hAnsiTheme="majorHAnsi" w:cs="Arial"/>
                                <w:color w:val="000000"/>
                                <w:kern w:val="28"/>
                                <w:sz w:val="16"/>
                                <w:szCs w:val="16"/>
                                <w:lang w:eastAsia="en-US"/>
                              </w:rPr>
                              <w:t>ans with Disabilities Act, this p</w:t>
                            </w:r>
                            <w:r w:rsidRPr="00385613">
                              <w:rPr>
                                <w:rFonts w:asciiTheme="majorHAnsi" w:eastAsia="Times New Roman" w:hAnsiTheme="majorHAnsi" w:cs="Arial"/>
                                <w:color w:val="000000"/>
                                <w:kern w:val="28"/>
                                <w:sz w:val="16"/>
                                <w:szCs w:val="16"/>
                                <w:lang w:eastAsia="en-US"/>
                              </w:rPr>
                              <w:t xml:space="preserve">ublication/material is available in alternative formats upon request. </w:t>
                            </w:r>
                            <w:proofErr w:type="gramStart"/>
                            <w:r w:rsidRPr="00385613">
                              <w:rPr>
                                <w:rFonts w:asciiTheme="majorHAnsi" w:eastAsia="Times New Roman" w:hAnsiTheme="majorHAnsi" w:cs="Arial"/>
                                <w:color w:val="000000"/>
                                <w:kern w:val="28"/>
                                <w:sz w:val="16"/>
                                <w:szCs w:val="16"/>
                                <w:lang w:eastAsia="en-US"/>
                              </w:rPr>
                              <w:t>Direct requests to the Extension Store at 800-876-8636.</w:t>
                            </w:r>
                            <w:proofErr w:type="gramEnd"/>
                            <w:r>
                              <w:rPr>
                                <w:rFonts w:asciiTheme="majorHAnsi" w:eastAsia="Times New Roman" w:hAnsiTheme="majorHAnsi" w:cs="Arial"/>
                                <w:color w:val="000000"/>
                                <w:kern w:val="28"/>
                                <w:sz w:val="16"/>
                                <w:szCs w:val="16"/>
                                <w:lang w:eastAsia="en-US"/>
                              </w:rPr>
                              <w:t xml:space="preserve">     </w:t>
                            </w:r>
                            <w:r w:rsidRPr="00385613">
                              <w:rPr>
                                <w:rFonts w:asciiTheme="majorHAnsi" w:eastAsia="Times New Roman" w:hAnsiTheme="majorHAnsi" w:cs="Arial"/>
                                <w:color w:val="000000"/>
                                <w:kern w:val="28"/>
                                <w:sz w:val="16"/>
                                <w:szCs w:val="16"/>
                                <w:lang w:eastAsia="en-US"/>
                              </w:rPr>
                              <w:t xml:space="preserve"> </w:t>
                            </w:r>
                            <w:r w:rsidRPr="002B7B70">
                              <w:rPr>
                                <w:rFonts w:asciiTheme="majorHAnsi" w:eastAsia="Times New Roman" w:hAnsiTheme="majorHAnsi" w:cs="Arial"/>
                                <w:noProof/>
                                <w:color w:val="000000"/>
                                <w:kern w:val="28"/>
                                <w:sz w:val="16"/>
                                <w:szCs w:val="16"/>
                                <w:lang w:eastAsia="en-US"/>
                              </w:rPr>
                              <w:drawing>
                                <wp:inline distT="0" distB="0" distL="0" distR="0" wp14:anchorId="7B28FE20" wp14:editId="7B28FE21">
                                  <wp:extent cx="92403" cy="91440"/>
                                  <wp:effectExtent l="19050" t="0" r="2847" b="0"/>
                                  <wp:docPr id="33" name="Picture 7"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cycle"/>
                                          <pic:cNvPicPr>
                                            <a:picLocks noChangeAspect="1" noChangeArrowheads="1"/>
                                          </pic:cNvPicPr>
                                        </pic:nvPicPr>
                                        <pic:blipFill>
                                          <a:blip r:embed="rId20"/>
                                          <a:srcRect/>
                                          <a:stretch>
                                            <a:fillRect/>
                                          </a:stretch>
                                        </pic:blipFill>
                                        <pic:spPr bwMode="auto">
                                          <a:xfrm>
                                            <a:off x="0" y="0"/>
                                            <a:ext cx="92403" cy="91440"/>
                                          </a:xfrm>
                                          <a:prstGeom prst="rect">
                                            <a:avLst/>
                                          </a:prstGeom>
                                          <a:noFill/>
                                          <a:ln w="9525">
                                            <a:noFill/>
                                            <a:miter lim="800000"/>
                                            <a:headEnd/>
                                            <a:tailEnd/>
                                          </a:ln>
                                        </pic:spPr>
                                      </pic:pic>
                                    </a:graphicData>
                                  </a:graphic>
                                </wp:inline>
                              </w:drawing>
                            </w:r>
                            <w:r>
                              <w:rPr>
                                <w:rFonts w:asciiTheme="majorHAnsi" w:eastAsia="Times New Roman" w:hAnsiTheme="majorHAnsi" w:cs="Arial"/>
                                <w:color w:val="000000"/>
                                <w:kern w:val="28"/>
                                <w:sz w:val="16"/>
                                <w:szCs w:val="16"/>
                                <w:lang w:eastAsia="en-US"/>
                              </w:rPr>
                              <w:t xml:space="preserve"> </w:t>
                            </w:r>
                            <w:proofErr w:type="gramStart"/>
                            <w:r w:rsidRPr="00385613">
                              <w:rPr>
                                <w:rFonts w:asciiTheme="majorHAnsi" w:eastAsia="Times New Roman" w:hAnsiTheme="majorHAnsi" w:cs="Arial"/>
                                <w:color w:val="000000"/>
                                <w:kern w:val="28"/>
                                <w:sz w:val="16"/>
                                <w:szCs w:val="16"/>
                                <w:lang w:eastAsia="en-US"/>
                              </w:rPr>
                              <w:t>Printed on recycled and recyclable paper with at least 10 percent postconsumer waste material.</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54pt;margin-top:734.4pt;width:523.1pt;height:37.1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" filled="f" fillcolor="black" stroked="f" strokecolor="black [0]">
                <v:fill opacity="19789f"/>
                <v:textbox inset="2.88pt,2.88pt,2.88pt,2.88pt">
                  <w:txbxContent>
                    <w:p w14:paraId="7B28FE1F" w14:textId="77777777" w:rsidR="00F648A7" w:rsidRPr="00385613" w:rsidRDefault="00F648A7" w:rsidP="00021EAB">
                      <w:r>
                        <w:rPr>
                          <w:rFonts w:asciiTheme="majorHAnsi" w:eastAsia="Times New Roman" w:hAnsiTheme="majorHAnsi" w:cs="Arial"/>
                          <w:color w:val="000000"/>
                          <w:kern w:val="28"/>
                          <w:sz w:val="16"/>
                          <w:szCs w:val="16"/>
                          <w:lang w:eastAsia="en-US"/>
                        </w:rPr>
                        <w:t>© 2012</w:t>
                      </w:r>
                      <w:r w:rsidRPr="00385613">
                        <w:rPr>
                          <w:rFonts w:asciiTheme="majorHAnsi" w:eastAsia="Times New Roman" w:hAnsiTheme="majorHAnsi" w:cs="Arial"/>
                          <w:color w:val="000000"/>
                          <w:kern w:val="28"/>
                          <w:sz w:val="16"/>
                          <w:szCs w:val="16"/>
                          <w:lang w:eastAsia="en-US"/>
                        </w:rPr>
                        <w:t>, Regents of the University of Minnesota. University of Minnesota Extension is an equal opportunity educator and employer. In accordance with the Americ</w:t>
                      </w:r>
                      <w:r>
                        <w:rPr>
                          <w:rFonts w:asciiTheme="majorHAnsi" w:eastAsia="Times New Roman" w:hAnsiTheme="majorHAnsi" w:cs="Arial"/>
                          <w:color w:val="000000"/>
                          <w:kern w:val="28"/>
                          <w:sz w:val="16"/>
                          <w:szCs w:val="16"/>
                          <w:lang w:eastAsia="en-US"/>
                        </w:rPr>
                        <w:t>ans with Disabilities Act, this p</w:t>
                      </w:r>
                      <w:r w:rsidRPr="00385613">
                        <w:rPr>
                          <w:rFonts w:asciiTheme="majorHAnsi" w:eastAsia="Times New Roman" w:hAnsiTheme="majorHAnsi" w:cs="Arial"/>
                          <w:color w:val="000000"/>
                          <w:kern w:val="28"/>
                          <w:sz w:val="16"/>
                          <w:szCs w:val="16"/>
                          <w:lang w:eastAsia="en-US"/>
                        </w:rPr>
                        <w:t>ublication/material is available in alternative formats upon request. Direct requests to the Extension Store at 800-876-8636.</w:t>
                      </w:r>
                      <w:r>
                        <w:rPr>
                          <w:rFonts w:asciiTheme="majorHAnsi" w:eastAsia="Times New Roman" w:hAnsiTheme="majorHAnsi" w:cs="Arial"/>
                          <w:color w:val="000000"/>
                          <w:kern w:val="28"/>
                          <w:sz w:val="16"/>
                          <w:szCs w:val="16"/>
                          <w:lang w:eastAsia="en-US"/>
                        </w:rPr>
                        <w:t xml:space="preserve">     </w:t>
                      </w:r>
                      <w:r w:rsidRPr="00385613">
                        <w:rPr>
                          <w:rFonts w:asciiTheme="majorHAnsi" w:eastAsia="Times New Roman" w:hAnsiTheme="majorHAnsi" w:cs="Arial"/>
                          <w:color w:val="000000"/>
                          <w:kern w:val="28"/>
                          <w:sz w:val="16"/>
                          <w:szCs w:val="16"/>
                          <w:lang w:eastAsia="en-US"/>
                        </w:rPr>
                        <w:t xml:space="preserve"> </w:t>
                      </w:r>
                      <w:r w:rsidRPr="002B7B70">
                        <w:rPr>
                          <w:rFonts w:asciiTheme="majorHAnsi" w:eastAsia="Times New Roman" w:hAnsiTheme="majorHAnsi" w:cs="Arial"/>
                          <w:noProof/>
                          <w:color w:val="000000"/>
                          <w:kern w:val="28"/>
                          <w:sz w:val="16"/>
                          <w:szCs w:val="16"/>
                          <w:lang w:eastAsia="en-US"/>
                        </w:rPr>
                        <w:drawing>
                          <wp:inline distT="0" distB="0" distL="0" distR="0" wp14:anchorId="7B28FE20" wp14:editId="7B28FE21">
                            <wp:extent cx="92403" cy="91440"/>
                            <wp:effectExtent l="19050" t="0" r="2847" b="0"/>
                            <wp:docPr id="33" name="Picture 7"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cycle"/>
                                    <pic:cNvPicPr>
                                      <a:picLocks noChangeAspect="1" noChangeArrowheads="1"/>
                                    </pic:cNvPicPr>
                                  </pic:nvPicPr>
                                  <pic:blipFill>
                                    <a:blip r:embed="rId23"/>
                                    <a:srcRect/>
                                    <a:stretch>
                                      <a:fillRect/>
                                    </a:stretch>
                                  </pic:blipFill>
                                  <pic:spPr bwMode="auto">
                                    <a:xfrm>
                                      <a:off x="0" y="0"/>
                                      <a:ext cx="92403" cy="91440"/>
                                    </a:xfrm>
                                    <a:prstGeom prst="rect">
                                      <a:avLst/>
                                    </a:prstGeom>
                                    <a:noFill/>
                                    <a:ln w="9525">
                                      <a:noFill/>
                                      <a:miter lim="800000"/>
                                      <a:headEnd/>
                                      <a:tailEnd/>
                                    </a:ln>
                                  </pic:spPr>
                                </pic:pic>
                              </a:graphicData>
                            </a:graphic>
                          </wp:inline>
                        </w:drawing>
                      </w:r>
                      <w:r>
                        <w:rPr>
                          <w:rFonts w:asciiTheme="majorHAnsi" w:eastAsia="Times New Roman" w:hAnsiTheme="majorHAnsi" w:cs="Arial"/>
                          <w:color w:val="000000"/>
                          <w:kern w:val="28"/>
                          <w:sz w:val="16"/>
                          <w:szCs w:val="16"/>
                          <w:lang w:eastAsia="en-US"/>
                        </w:rPr>
                        <w:t xml:space="preserve"> </w:t>
                      </w:r>
                      <w:r w:rsidRPr="00385613">
                        <w:rPr>
                          <w:rFonts w:asciiTheme="majorHAnsi" w:eastAsia="Times New Roman" w:hAnsiTheme="majorHAnsi" w:cs="Arial"/>
                          <w:color w:val="000000"/>
                          <w:kern w:val="28"/>
                          <w:sz w:val="16"/>
                          <w:szCs w:val="16"/>
                          <w:lang w:eastAsia="en-US"/>
                        </w:rPr>
                        <w:t>Printed on recycled and recyclable paper with at least 10 percent postconsumer waste material.</w:t>
                      </w:r>
                    </w:p>
                  </w:txbxContent>
                </v:textbox>
                <w10:wrap anchorx="page" anchory="page"/>
                <w10:anchorlock/>
              </v:shape>
            </w:pict>
          </mc:Fallback>
        </mc:AlternateContent>
      </w:r>
    </w:p>
    <w:sectPr w:rsidR="00D43A67" w:rsidRPr="00D43A67" w:rsidSect="00381501">
      <w:headerReference w:type="default" r:id="rId24"/>
      <w:type w:val="continuous"/>
      <w:pgSz w:w="12240" w:h="15840"/>
      <w:pgMar w:top="1440" w:right="1080" w:bottom="72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74999" w14:textId="77777777" w:rsidR="0049233E" w:rsidRDefault="0049233E" w:rsidP="0052797E">
      <w:r>
        <w:separator/>
      </w:r>
    </w:p>
  </w:endnote>
  <w:endnote w:type="continuationSeparator" w:id="0">
    <w:p w14:paraId="38FDB1A8" w14:textId="77777777" w:rsidR="0049233E" w:rsidRDefault="0049233E" w:rsidP="0052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XT DINOT-Bold">
    <w:altName w:val="EXT DINOT-Bold"/>
    <w:panose1 w:val="00000000000000000000"/>
    <w:charset w:val="00"/>
    <w:family w:val="modern"/>
    <w:notTrueType/>
    <w:pitch w:val="variable"/>
    <w:sig w:usb0="00000003" w:usb1="00000001" w:usb2="00000000" w:usb3="00000000" w:csb0="00000001" w:csb1="00000000"/>
  </w:font>
  <w:font w:name="HelveticaNeueLTStd-Bd">
    <w:panose1 w:val="00000000000000000000"/>
    <w:charset w:val="4D"/>
    <w:family w:val="auto"/>
    <w:notTrueType/>
    <w:pitch w:val="default"/>
    <w:sig w:usb0="00000003" w:usb1="00000000" w:usb2="00000000" w:usb3="00000000" w:csb0="00000001" w:csb1="00000000"/>
  </w:font>
  <w:font w:name="GlyphaLTStd">
    <w:panose1 w:val="00000000000000000000"/>
    <w:charset w:val="4D"/>
    <w:family w:val="auto"/>
    <w:notTrueType/>
    <w:pitch w:val="default"/>
    <w:sig w:usb0="00000003" w:usb1="00000000" w:usb2="00000000" w:usb3="00000000" w:csb0="00000001" w:csb1="00000000"/>
  </w:font>
  <w:font w:name="EXTDINOT-Medium">
    <w:panose1 w:val="00000000000000000000"/>
    <w:charset w:val="4D"/>
    <w:family w:val="auto"/>
    <w:notTrueType/>
    <w:pitch w:val="default"/>
    <w:sig w:usb0="00000003" w:usb1="00000000" w:usb2="00000000" w:usb3="00000000" w:csb0="00000001" w:csb1="00000000"/>
  </w:font>
  <w:font w:name="HelveticaNeueLTStd-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08F28" w14:textId="77777777" w:rsidR="0049233E" w:rsidRDefault="0049233E" w:rsidP="0052797E">
      <w:r>
        <w:separator/>
      </w:r>
    </w:p>
  </w:footnote>
  <w:footnote w:type="continuationSeparator" w:id="0">
    <w:p w14:paraId="479B7936" w14:textId="77777777" w:rsidR="0049233E" w:rsidRDefault="0049233E" w:rsidP="0052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FE13" w14:textId="77777777" w:rsidR="00F648A7" w:rsidRDefault="00F648A7">
    <w:pPr>
      <w:pStyle w:val="Header"/>
    </w:pPr>
    <w:r>
      <w:rPr>
        <w:noProof/>
        <w:lang w:eastAsia="en-US"/>
      </w:rPr>
      <mc:AlternateContent>
        <mc:Choice Requires="wps">
          <w:drawing>
            <wp:anchor distT="0" distB="0" distL="114300" distR="114300" simplePos="0" relativeHeight="251662336" behindDoc="0" locked="1" layoutInCell="1" allowOverlap="1" wp14:anchorId="7B28FE15" wp14:editId="7B28FE16">
              <wp:simplePos x="0" y="0"/>
              <wp:positionH relativeFrom="page">
                <wp:posOffset>494030</wp:posOffset>
              </wp:positionH>
              <wp:positionV relativeFrom="page">
                <wp:posOffset>1371600</wp:posOffset>
              </wp:positionV>
              <wp:extent cx="6784975" cy="8248650"/>
              <wp:effectExtent l="8255" t="9525" r="7620" b="952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8248650"/>
                      </a:xfrm>
                      <a:prstGeom prst="rect">
                        <a:avLst/>
                      </a:prstGeom>
                      <a:solidFill>
                        <a:srgbClr val="FFFFFF"/>
                      </a:solidFill>
                      <a:ln w="9525">
                        <a:solidFill>
                          <a:schemeClr val="bg2">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BEA371" id="Rectangle 20" o:spid="_x0000_s1026" style="position:absolute;margin-left:38.9pt;margin-top:108pt;width:534.25pt;height:64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" strokecolor="#ddd6ce [3214]">
              <w10:wrap anchorx="page" anchory="page"/>
              <w10:anchorlock/>
            </v:rect>
          </w:pict>
        </mc:Fallback>
      </mc:AlternateContent>
    </w:r>
    <w:r w:rsidRPr="00263752">
      <w:rPr>
        <w:noProof/>
        <w:lang w:eastAsia="en-US"/>
      </w:rPr>
      <w:drawing>
        <wp:anchor distT="0" distB="0" distL="114300" distR="114300" simplePos="0" relativeHeight="251666432" behindDoc="0" locked="1" layoutInCell="1" allowOverlap="1" wp14:anchorId="7B28FE17" wp14:editId="7B28FE18">
          <wp:simplePos x="0" y="0"/>
          <wp:positionH relativeFrom="page">
            <wp:posOffset>485775</wp:posOffset>
          </wp:positionH>
          <wp:positionV relativeFrom="page">
            <wp:posOffset>495300</wp:posOffset>
          </wp:positionV>
          <wp:extent cx="6797040" cy="752475"/>
          <wp:effectExtent l="19050" t="0" r="3810" b="0"/>
          <wp:wrapNone/>
          <wp:docPr id="13" name="Picture 0" descr="EFANS_4page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ANS_4pagemasthead.jpg"/>
                  <pic:cNvPicPr/>
                </pic:nvPicPr>
                <pic:blipFill>
                  <a:blip r:embed="rId1"/>
                  <a:stretch>
                    <a:fillRect/>
                  </a:stretch>
                </pic:blipFill>
                <pic:spPr>
                  <a:xfrm>
                    <a:off x="0" y="0"/>
                    <a:ext cx="6797040" cy="7524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FE14" w14:textId="77777777" w:rsidR="00F648A7" w:rsidRDefault="00F648A7">
    <w:pPr>
      <w:pStyle w:val="Header"/>
    </w:pPr>
    <w:r>
      <w:rPr>
        <w:noProof/>
        <w:lang w:eastAsia="en-US"/>
      </w:rPr>
      <mc:AlternateContent>
        <mc:Choice Requires="wps">
          <w:drawing>
            <wp:anchor distT="0" distB="0" distL="114300" distR="114300" simplePos="0" relativeHeight="251664384" behindDoc="0" locked="1" layoutInCell="1" allowOverlap="1" wp14:anchorId="7B28FE19" wp14:editId="7B28FE1A">
              <wp:simplePos x="0" y="0"/>
              <wp:positionH relativeFrom="page">
                <wp:posOffset>494030</wp:posOffset>
              </wp:positionH>
              <wp:positionV relativeFrom="page">
                <wp:posOffset>731520</wp:posOffset>
              </wp:positionV>
              <wp:extent cx="6784975" cy="9069705"/>
              <wp:effectExtent l="8255" t="7620" r="7620" b="952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9069705"/>
                      </a:xfrm>
                      <a:prstGeom prst="rect">
                        <a:avLst/>
                      </a:prstGeom>
                      <a:solidFill>
                        <a:srgbClr val="FFFFFF"/>
                      </a:solidFill>
                      <a:ln w="9525">
                        <a:solidFill>
                          <a:schemeClr val="bg2">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0BD534" id="Rectangle 22" o:spid="_x0000_s1026" style="position:absolute;margin-left:38.9pt;margin-top:57.6pt;width:534.25pt;height:7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" strokecolor="#ddd6ce [3214]">
              <w10:wrap anchorx="page" anchory="page"/>
              <w10:anchorlock/>
            </v:rect>
          </w:pict>
        </mc:Fallback>
      </mc:AlternateContent>
    </w:r>
    <w:r w:rsidRPr="00263752">
      <w:rPr>
        <w:noProof/>
        <w:lang w:eastAsia="en-US"/>
      </w:rPr>
      <w:drawing>
        <wp:anchor distT="0" distB="0" distL="114300" distR="114300" simplePos="0" relativeHeight="251668480" behindDoc="0" locked="1" layoutInCell="1" allowOverlap="1" wp14:anchorId="7B28FE1B" wp14:editId="7B28FE1C">
          <wp:simplePos x="0" y="0"/>
          <wp:positionH relativeFrom="page">
            <wp:posOffset>485775</wp:posOffset>
          </wp:positionH>
          <wp:positionV relativeFrom="page">
            <wp:posOffset>457200</wp:posOffset>
          </wp:positionV>
          <wp:extent cx="6794500" cy="114300"/>
          <wp:effectExtent l="19050" t="0" r="6350" b="0"/>
          <wp:wrapNone/>
          <wp:docPr id="14" name="Picture 6" descr="EFANS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ANSbar.jpg"/>
                  <pic:cNvPicPr/>
                </pic:nvPicPr>
                <pic:blipFill>
                  <a:blip r:embed="rId1"/>
                  <a:stretch>
                    <a:fillRect/>
                  </a:stretch>
                </pic:blipFill>
                <pic:spPr>
                  <a:xfrm>
                    <a:off x="0" y="0"/>
                    <a:ext cx="6794500" cy="114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1E80"/>
    <w:multiLevelType w:val="hybridMultilevel"/>
    <w:tmpl w:val="B16E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34331"/>
    <w:multiLevelType w:val="hybridMultilevel"/>
    <w:tmpl w:val="47BA2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E40C0"/>
    <w:multiLevelType w:val="hybridMultilevel"/>
    <w:tmpl w:val="BC466170"/>
    <w:lvl w:ilvl="0" w:tplc="8760E644">
      <w:start w:val="1"/>
      <w:numFmt w:val="bullet"/>
      <w:pStyle w:val="BullettextExtension"/>
      <w:lvlText w:val=""/>
      <w:lvlJc w:val="left"/>
      <w:pPr>
        <w:ind w:left="720" w:hanging="360"/>
      </w:pPr>
      <w:rPr>
        <w:rFonts w:ascii="Wingdings" w:hAnsi="Wingdings" w:hint="default"/>
        <w:color w:val="CE1B22" w:themeColor="accent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558F8"/>
    <w:multiLevelType w:val="hybridMultilevel"/>
    <w:tmpl w:val="F128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6705B"/>
    <w:multiLevelType w:val="hybridMultilevel"/>
    <w:tmpl w:val="59F695CE"/>
    <w:lvl w:ilvl="0" w:tplc="6E1ED322">
      <w:start w:val="1"/>
      <w:numFmt w:val="bullet"/>
      <w:pStyle w:val="BulletExtension"/>
      <w:lvlText w:val=""/>
      <w:lvlJc w:val="left"/>
      <w:pPr>
        <w:ind w:left="720" w:hanging="360"/>
      </w:pPr>
      <w:rPr>
        <w:rFonts w:ascii="Wingdings" w:hAnsi="Wingdings" w:hint="default"/>
        <w:color w:val="CE1B22" w:themeColor="accent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4584D"/>
    <w:multiLevelType w:val="hybridMultilevel"/>
    <w:tmpl w:val="79F2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D5F9A"/>
    <w:multiLevelType w:val="hybridMultilevel"/>
    <w:tmpl w:val="9882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isplayHorizontalDrawingGridEvery w:val="2"/>
  <w:characterSpacingControl w:val="doNotCompress"/>
  <w:hdrShapeDefaults>
    <o:shapedefaults v:ext="edit" spidmax="2049">
      <o:colormru v:ext="edit" colors="#d2b68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7E"/>
    <w:rsid w:val="00010ED8"/>
    <w:rsid w:val="00021EAB"/>
    <w:rsid w:val="00026539"/>
    <w:rsid w:val="000434EA"/>
    <w:rsid w:val="00045582"/>
    <w:rsid w:val="000557AF"/>
    <w:rsid w:val="0005630F"/>
    <w:rsid w:val="00074E9E"/>
    <w:rsid w:val="00091F64"/>
    <w:rsid w:val="000955F3"/>
    <w:rsid w:val="000A4578"/>
    <w:rsid w:val="000B191A"/>
    <w:rsid w:val="000B75F7"/>
    <w:rsid w:val="000C475B"/>
    <w:rsid w:val="000D2888"/>
    <w:rsid w:val="000D4CE9"/>
    <w:rsid w:val="000D7E63"/>
    <w:rsid w:val="000E2A30"/>
    <w:rsid w:val="000E7D0E"/>
    <w:rsid w:val="0010025C"/>
    <w:rsid w:val="00110464"/>
    <w:rsid w:val="00132573"/>
    <w:rsid w:val="00137426"/>
    <w:rsid w:val="00137651"/>
    <w:rsid w:val="00156F3E"/>
    <w:rsid w:val="0016553E"/>
    <w:rsid w:val="001701AB"/>
    <w:rsid w:val="001758C3"/>
    <w:rsid w:val="0018177C"/>
    <w:rsid w:val="00183F52"/>
    <w:rsid w:val="00193082"/>
    <w:rsid w:val="00193BE9"/>
    <w:rsid w:val="00193D62"/>
    <w:rsid w:val="00194677"/>
    <w:rsid w:val="001A419E"/>
    <w:rsid w:val="001E0A69"/>
    <w:rsid w:val="001E1D80"/>
    <w:rsid w:val="001F46E7"/>
    <w:rsid w:val="00214CFC"/>
    <w:rsid w:val="00226A2C"/>
    <w:rsid w:val="00234CA3"/>
    <w:rsid w:val="00236149"/>
    <w:rsid w:val="00263752"/>
    <w:rsid w:val="002B553C"/>
    <w:rsid w:val="002B7B70"/>
    <w:rsid w:val="002D2F80"/>
    <w:rsid w:val="002E0056"/>
    <w:rsid w:val="002F081C"/>
    <w:rsid w:val="0030325C"/>
    <w:rsid w:val="0033204A"/>
    <w:rsid w:val="00353496"/>
    <w:rsid w:val="00367A48"/>
    <w:rsid w:val="00381501"/>
    <w:rsid w:val="00385613"/>
    <w:rsid w:val="003A25EF"/>
    <w:rsid w:val="003C3BE4"/>
    <w:rsid w:val="003C3C5A"/>
    <w:rsid w:val="003F0ABB"/>
    <w:rsid w:val="003F0B3D"/>
    <w:rsid w:val="003F4D9E"/>
    <w:rsid w:val="00412BC8"/>
    <w:rsid w:val="004152D6"/>
    <w:rsid w:val="00441C79"/>
    <w:rsid w:val="00442D46"/>
    <w:rsid w:val="00486B61"/>
    <w:rsid w:val="0049233E"/>
    <w:rsid w:val="00492856"/>
    <w:rsid w:val="004A2B57"/>
    <w:rsid w:val="004C2E0B"/>
    <w:rsid w:val="004C45DA"/>
    <w:rsid w:val="004D00DD"/>
    <w:rsid w:val="004D2E4F"/>
    <w:rsid w:val="004D79D2"/>
    <w:rsid w:val="0052797E"/>
    <w:rsid w:val="005407E4"/>
    <w:rsid w:val="0054748B"/>
    <w:rsid w:val="00556F5D"/>
    <w:rsid w:val="0055740C"/>
    <w:rsid w:val="00575356"/>
    <w:rsid w:val="00577E5A"/>
    <w:rsid w:val="00583D02"/>
    <w:rsid w:val="00596400"/>
    <w:rsid w:val="005C1ACF"/>
    <w:rsid w:val="0060656C"/>
    <w:rsid w:val="00610E7C"/>
    <w:rsid w:val="00617112"/>
    <w:rsid w:val="00635E86"/>
    <w:rsid w:val="006430A1"/>
    <w:rsid w:val="0064762A"/>
    <w:rsid w:val="00647DBF"/>
    <w:rsid w:val="006536D4"/>
    <w:rsid w:val="0066175B"/>
    <w:rsid w:val="00661DBD"/>
    <w:rsid w:val="00681BB3"/>
    <w:rsid w:val="006925AB"/>
    <w:rsid w:val="006C4627"/>
    <w:rsid w:val="006E25F0"/>
    <w:rsid w:val="00707AF6"/>
    <w:rsid w:val="00716BF3"/>
    <w:rsid w:val="00787F6F"/>
    <w:rsid w:val="00795E1F"/>
    <w:rsid w:val="007C2FCF"/>
    <w:rsid w:val="007C710F"/>
    <w:rsid w:val="007D2E9A"/>
    <w:rsid w:val="007F2208"/>
    <w:rsid w:val="0081326F"/>
    <w:rsid w:val="00817F7A"/>
    <w:rsid w:val="00822407"/>
    <w:rsid w:val="00827ABA"/>
    <w:rsid w:val="00842A59"/>
    <w:rsid w:val="00845B93"/>
    <w:rsid w:val="008861E0"/>
    <w:rsid w:val="00891FD9"/>
    <w:rsid w:val="008A433C"/>
    <w:rsid w:val="008B584D"/>
    <w:rsid w:val="008C0ACF"/>
    <w:rsid w:val="008C4DB8"/>
    <w:rsid w:val="008E3F83"/>
    <w:rsid w:val="008F6D2C"/>
    <w:rsid w:val="009576FD"/>
    <w:rsid w:val="00971390"/>
    <w:rsid w:val="00973EB7"/>
    <w:rsid w:val="009A394D"/>
    <w:rsid w:val="009B21BC"/>
    <w:rsid w:val="009C24BF"/>
    <w:rsid w:val="009C5FD7"/>
    <w:rsid w:val="009D4408"/>
    <w:rsid w:val="009E373D"/>
    <w:rsid w:val="00A02210"/>
    <w:rsid w:val="00A0490E"/>
    <w:rsid w:val="00A12E58"/>
    <w:rsid w:val="00A257D9"/>
    <w:rsid w:val="00A36571"/>
    <w:rsid w:val="00A5656E"/>
    <w:rsid w:val="00A56CFE"/>
    <w:rsid w:val="00A62907"/>
    <w:rsid w:val="00A64065"/>
    <w:rsid w:val="00A70A1C"/>
    <w:rsid w:val="00A91AE7"/>
    <w:rsid w:val="00B16679"/>
    <w:rsid w:val="00B41FBC"/>
    <w:rsid w:val="00B4550C"/>
    <w:rsid w:val="00BD0062"/>
    <w:rsid w:val="00BE0E48"/>
    <w:rsid w:val="00BE182D"/>
    <w:rsid w:val="00C06DCA"/>
    <w:rsid w:val="00C15F8E"/>
    <w:rsid w:val="00C20AC5"/>
    <w:rsid w:val="00C34F5E"/>
    <w:rsid w:val="00C42471"/>
    <w:rsid w:val="00C57A3D"/>
    <w:rsid w:val="00C849AF"/>
    <w:rsid w:val="00C93F98"/>
    <w:rsid w:val="00CC0C6D"/>
    <w:rsid w:val="00CC70F9"/>
    <w:rsid w:val="00CD2230"/>
    <w:rsid w:val="00CD43C8"/>
    <w:rsid w:val="00CE2495"/>
    <w:rsid w:val="00D1438B"/>
    <w:rsid w:val="00D17047"/>
    <w:rsid w:val="00D3397A"/>
    <w:rsid w:val="00D35848"/>
    <w:rsid w:val="00D43A67"/>
    <w:rsid w:val="00D518B3"/>
    <w:rsid w:val="00D51AD4"/>
    <w:rsid w:val="00D5357C"/>
    <w:rsid w:val="00D60CCA"/>
    <w:rsid w:val="00D74363"/>
    <w:rsid w:val="00D75932"/>
    <w:rsid w:val="00D82AA8"/>
    <w:rsid w:val="00DA3360"/>
    <w:rsid w:val="00DB541A"/>
    <w:rsid w:val="00DC7DA0"/>
    <w:rsid w:val="00DF5F39"/>
    <w:rsid w:val="00E03885"/>
    <w:rsid w:val="00E21888"/>
    <w:rsid w:val="00E24DD4"/>
    <w:rsid w:val="00E57BAA"/>
    <w:rsid w:val="00E620D3"/>
    <w:rsid w:val="00E636D0"/>
    <w:rsid w:val="00E677D5"/>
    <w:rsid w:val="00E744A1"/>
    <w:rsid w:val="00E762DA"/>
    <w:rsid w:val="00E81D5E"/>
    <w:rsid w:val="00E90BB0"/>
    <w:rsid w:val="00EA630C"/>
    <w:rsid w:val="00EA7376"/>
    <w:rsid w:val="00ED479C"/>
    <w:rsid w:val="00ED5D1B"/>
    <w:rsid w:val="00EF3393"/>
    <w:rsid w:val="00F209B9"/>
    <w:rsid w:val="00F24E9D"/>
    <w:rsid w:val="00F43463"/>
    <w:rsid w:val="00F47DD7"/>
    <w:rsid w:val="00F648A7"/>
    <w:rsid w:val="00F94BEE"/>
    <w:rsid w:val="00FA3030"/>
    <w:rsid w:val="00FB3435"/>
    <w:rsid w:val="00FC001F"/>
    <w:rsid w:val="00FC7F58"/>
    <w:rsid w:val="00FE4052"/>
    <w:rsid w:val="00FF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2b682"/>
    </o:shapedefaults>
    <o:shapelayout v:ext="edit">
      <o:idmap v:ext="edit" data="1"/>
    </o:shapelayout>
  </w:shapeDefaults>
  <w:decimalSymbol w:val="."/>
  <w:listSeparator w:val=","/>
  <w14:docId w14:val="7B28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C3C5A"/>
    <w:pPr>
      <w:spacing w:after="0"/>
    </w:pPr>
  </w:style>
  <w:style w:type="paragraph" w:styleId="Heading1">
    <w:name w:val="heading 1"/>
    <w:basedOn w:val="Normal"/>
    <w:next w:val="Normal"/>
    <w:link w:val="Heading1Char"/>
    <w:uiPriority w:val="9"/>
    <w:rsid w:val="000955F3"/>
    <w:pPr>
      <w:keepNext/>
      <w:keepLines/>
      <w:spacing w:before="480"/>
      <w:outlineLvl w:val="0"/>
    </w:pPr>
    <w:rPr>
      <w:rFonts w:asciiTheme="majorHAnsi" w:eastAsiaTheme="majorEastAsia" w:hAnsiTheme="majorHAnsi" w:cstheme="majorBidi"/>
      <w:b/>
      <w:bCs/>
      <w:color w:val="5B0012" w:themeColor="accent1" w:themeShade="BF"/>
      <w:sz w:val="28"/>
      <w:szCs w:val="28"/>
    </w:rPr>
  </w:style>
  <w:style w:type="paragraph" w:styleId="Heading2">
    <w:name w:val="heading 2"/>
    <w:basedOn w:val="Normal"/>
    <w:next w:val="Normal"/>
    <w:link w:val="Heading2Char"/>
    <w:uiPriority w:val="9"/>
    <w:semiHidden/>
    <w:unhideWhenUsed/>
    <w:rsid w:val="000955F3"/>
    <w:pPr>
      <w:keepNext/>
      <w:keepLines/>
      <w:spacing w:before="200"/>
      <w:outlineLvl w:val="1"/>
    </w:pPr>
    <w:rPr>
      <w:rFonts w:asciiTheme="majorHAnsi" w:eastAsiaTheme="majorEastAsia" w:hAnsiTheme="majorHAnsi" w:cstheme="majorBidi"/>
      <w:b/>
      <w:bCs/>
      <w:color w:val="7A0019" w:themeColor="accent1"/>
      <w:sz w:val="26"/>
      <w:szCs w:val="26"/>
    </w:rPr>
  </w:style>
  <w:style w:type="paragraph" w:styleId="Heading3">
    <w:name w:val="heading 3"/>
    <w:basedOn w:val="Normal"/>
    <w:next w:val="Normal"/>
    <w:link w:val="Heading3Char"/>
    <w:uiPriority w:val="9"/>
    <w:semiHidden/>
    <w:unhideWhenUsed/>
    <w:qFormat/>
    <w:rsid w:val="00026539"/>
    <w:pPr>
      <w:keepNext/>
      <w:keepLines/>
      <w:spacing w:before="200"/>
      <w:outlineLvl w:val="2"/>
    </w:pPr>
    <w:rPr>
      <w:rFonts w:asciiTheme="majorHAnsi" w:eastAsiaTheme="majorEastAsia" w:hAnsiTheme="majorHAnsi" w:cstheme="majorBidi"/>
      <w:b/>
      <w:bCs/>
      <w:color w:val="7A001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26539"/>
    <w:rPr>
      <w:rFonts w:asciiTheme="majorHAnsi" w:eastAsiaTheme="majorEastAsia" w:hAnsiTheme="majorHAnsi" w:cstheme="majorBidi"/>
      <w:b/>
      <w:bCs/>
      <w:color w:val="7A0019" w:themeColor="accent1"/>
      <w:sz w:val="24"/>
    </w:rPr>
  </w:style>
  <w:style w:type="paragraph" w:styleId="Header">
    <w:name w:val="header"/>
    <w:basedOn w:val="Normal"/>
    <w:link w:val="HeaderChar"/>
    <w:uiPriority w:val="99"/>
    <w:semiHidden/>
    <w:unhideWhenUsed/>
    <w:rsid w:val="0052797E"/>
    <w:pPr>
      <w:tabs>
        <w:tab w:val="center" w:pos="4680"/>
        <w:tab w:val="right" w:pos="9360"/>
      </w:tabs>
    </w:pPr>
  </w:style>
  <w:style w:type="character" w:customStyle="1" w:styleId="Heading1Char">
    <w:name w:val="Heading 1 Char"/>
    <w:basedOn w:val="DefaultParagraphFont"/>
    <w:link w:val="Heading1"/>
    <w:uiPriority w:val="9"/>
    <w:rsid w:val="000955F3"/>
    <w:rPr>
      <w:rFonts w:asciiTheme="majorHAnsi" w:eastAsiaTheme="majorEastAsia" w:hAnsiTheme="majorHAnsi" w:cstheme="majorBidi"/>
      <w:b/>
      <w:bCs/>
      <w:color w:val="5B0012" w:themeColor="accent1" w:themeShade="BF"/>
      <w:sz w:val="28"/>
      <w:szCs w:val="28"/>
    </w:rPr>
  </w:style>
  <w:style w:type="character" w:customStyle="1" w:styleId="HeaderChar">
    <w:name w:val="Header Char"/>
    <w:basedOn w:val="DefaultParagraphFont"/>
    <w:link w:val="Header"/>
    <w:uiPriority w:val="99"/>
    <w:semiHidden/>
    <w:rsid w:val="0052797E"/>
  </w:style>
  <w:style w:type="paragraph" w:styleId="Footer">
    <w:name w:val="footer"/>
    <w:basedOn w:val="Normal"/>
    <w:link w:val="FooterChar"/>
    <w:uiPriority w:val="99"/>
    <w:semiHidden/>
    <w:unhideWhenUsed/>
    <w:rsid w:val="0052797E"/>
    <w:pPr>
      <w:tabs>
        <w:tab w:val="center" w:pos="4680"/>
        <w:tab w:val="right" w:pos="9360"/>
      </w:tabs>
    </w:pPr>
  </w:style>
  <w:style w:type="character" w:customStyle="1" w:styleId="Heading2Char">
    <w:name w:val="Heading 2 Char"/>
    <w:basedOn w:val="DefaultParagraphFont"/>
    <w:link w:val="Heading2"/>
    <w:uiPriority w:val="9"/>
    <w:semiHidden/>
    <w:rsid w:val="000955F3"/>
    <w:rPr>
      <w:rFonts w:asciiTheme="majorHAnsi" w:eastAsiaTheme="majorEastAsia" w:hAnsiTheme="majorHAnsi" w:cstheme="majorBidi"/>
      <w:b/>
      <w:bCs/>
      <w:color w:val="7A0019" w:themeColor="accent1"/>
      <w:sz w:val="26"/>
      <w:szCs w:val="26"/>
    </w:rPr>
  </w:style>
  <w:style w:type="character" w:customStyle="1" w:styleId="FooterChar">
    <w:name w:val="Footer Char"/>
    <w:basedOn w:val="DefaultParagraphFont"/>
    <w:link w:val="Footer"/>
    <w:uiPriority w:val="99"/>
    <w:semiHidden/>
    <w:rsid w:val="0052797E"/>
  </w:style>
  <w:style w:type="paragraph" w:styleId="BalloonText">
    <w:name w:val="Balloon Text"/>
    <w:basedOn w:val="Normal"/>
    <w:link w:val="BalloonTextChar"/>
    <w:uiPriority w:val="99"/>
    <w:semiHidden/>
    <w:unhideWhenUsed/>
    <w:rsid w:val="0052797E"/>
    <w:rPr>
      <w:rFonts w:ascii="Tahoma" w:hAnsi="Tahoma" w:cs="Tahoma"/>
      <w:sz w:val="16"/>
      <w:szCs w:val="16"/>
    </w:rPr>
  </w:style>
  <w:style w:type="character" w:customStyle="1" w:styleId="BalloonTextChar">
    <w:name w:val="Balloon Text Char"/>
    <w:basedOn w:val="DefaultParagraphFont"/>
    <w:link w:val="BalloonText"/>
    <w:uiPriority w:val="99"/>
    <w:semiHidden/>
    <w:rsid w:val="0052797E"/>
    <w:rPr>
      <w:rFonts w:ascii="Tahoma" w:hAnsi="Tahoma" w:cs="Tahoma"/>
      <w:sz w:val="16"/>
      <w:szCs w:val="16"/>
    </w:rPr>
  </w:style>
  <w:style w:type="paragraph" w:customStyle="1" w:styleId="TitleExtension">
    <w:name w:val="Title Extension"/>
    <w:qFormat/>
    <w:rsid w:val="00026539"/>
    <w:pPr>
      <w:spacing w:after="120" w:line="480" w:lineRule="atLeast"/>
    </w:pPr>
    <w:rPr>
      <w:rFonts w:ascii="Arial" w:hAnsi="Arial" w:cs="Arial"/>
      <w:color w:val="CE1B22" w:themeColor="accent3"/>
      <w:spacing w:val="-20"/>
      <w:sz w:val="47"/>
      <w:szCs w:val="47"/>
    </w:rPr>
  </w:style>
  <w:style w:type="paragraph" w:customStyle="1" w:styleId="BodyTextExtension">
    <w:name w:val="Body Text (Extension"/>
    <w:basedOn w:val="Normal"/>
    <w:qFormat/>
    <w:rsid w:val="00137426"/>
    <w:pPr>
      <w:autoSpaceDE w:val="0"/>
      <w:autoSpaceDN w:val="0"/>
      <w:adjustRightInd w:val="0"/>
      <w:spacing w:after="120" w:line="288" w:lineRule="auto"/>
    </w:pPr>
    <w:rPr>
      <w:rFonts w:ascii="Lucida Bright" w:eastAsiaTheme="minorHAnsi" w:hAnsi="Lucida Bright" w:cs="EXT DINOT-Bold"/>
      <w:color w:val="000000" w:themeColor="text1"/>
      <w:sz w:val="21"/>
      <w:szCs w:val="24"/>
      <w:lang w:eastAsia="en-US" w:bidi="en-US"/>
    </w:rPr>
  </w:style>
  <w:style w:type="paragraph" w:customStyle="1" w:styleId="SubheadExtension">
    <w:name w:val="Subhead Extension"/>
    <w:qFormat/>
    <w:rsid w:val="00A5656E"/>
    <w:pPr>
      <w:spacing w:before="240" w:after="90"/>
    </w:pPr>
    <w:rPr>
      <w:rFonts w:asciiTheme="majorHAnsi" w:hAnsiTheme="majorHAnsi" w:cs="HelveticaNeueLTStd-Bd"/>
      <w:b/>
      <w:bCs/>
      <w:color w:val="7A0019" w:themeColor="accent1"/>
      <w:sz w:val="22"/>
      <w:szCs w:val="22"/>
    </w:rPr>
  </w:style>
  <w:style w:type="paragraph" w:customStyle="1" w:styleId="BullettextExtension">
    <w:name w:val="Bullet text (Extension)"/>
    <w:qFormat/>
    <w:rsid w:val="00137426"/>
    <w:pPr>
      <w:numPr>
        <w:numId w:val="1"/>
      </w:numPr>
      <w:spacing w:line="288" w:lineRule="auto"/>
      <w:ind w:left="360"/>
    </w:pPr>
    <w:rPr>
      <w:sz w:val="21"/>
      <w:szCs w:val="21"/>
    </w:rPr>
  </w:style>
  <w:style w:type="paragraph" w:customStyle="1" w:styleId="CaptionExtension">
    <w:name w:val="Caption (Extension)"/>
    <w:basedOn w:val="Normal"/>
    <w:uiPriority w:val="1"/>
    <w:qFormat/>
    <w:rsid w:val="00D518B3"/>
    <w:pPr>
      <w:spacing w:before="240" w:after="360"/>
    </w:pPr>
    <w:rPr>
      <w:rFonts w:ascii="Calibri" w:hAnsi="Calibri" w:cstheme="minorHAnsi"/>
      <w:color w:val="7A0019"/>
    </w:rPr>
  </w:style>
  <w:style w:type="paragraph" w:customStyle="1" w:styleId="NoParagraphStyle">
    <w:name w:val="[No Paragraph Style]"/>
    <w:rsid w:val="00822407"/>
    <w:pPr>
      <w:autoSpaceDE w:val="0"/>
      <w:autoSpaceDN w:val="0"/>
      <w:adjustRightInd w:val="0"/>
      <w:spacing w:after="0" w:line="288" w:lineRule="auto"/>
      <w:textAlignment w:val="center"/>
    </w:pPr>
    <w:rPr>
      <w:rFonts w:ascii="HelveticaNeueLTStd-Bd" w:hAnsi="HelveticaNeueLTStd-Bd"/>
      <w:color w:val="000000"/>
      <w:sz w:val="24"/>
      <w:szCs w:val="24"/>
    </w:rPr>
  </w:style>
  <w:style w:type="paragraph" w:customStyle="1" w:styleId="Call-outtextwhiteExtension">
    <w:name w:val="Call-out text white (Extension)"/>
    <w:basedOn w:val="Normal"/>
    <w:rsid w:val="001F46E7"/>
    <w:pPr>
      <w:shd w:val="clear" w:color="auto" w:fill="7A0019" w:themeFill="accent1"/>
      <w:suppressAutoHyphens/>
      <w:autoSpaceDE w:val="0"/>
      <w:autoSpaceDN w:val="0"/>
      <w:adjustRightInd w:val="0"/>
      <w:ind w:left="180" w:right="195"/>
      <w:textAlignment w:val="center"/>
    </w:pPr>
    <w:rPr>
      <w:rFonts w:asciiTheme="majorHAnsi" w:hAnsiTheme="majorHAnsi" w:cs="GlyphaLTStd"/>
      <w:color w:val="FFFFFF" w:themeColor="background1"/>
      <w:spacing w:val="3"/>
      <w:sz w:val="18"/>
      <w:szCs w:val="18"/>
    </w:rPr>
  </w:style>
  <w:style w:type="paragraph" w:customStyle="1" w:styleId="LegalTextExtension">
    <w:name w:val="Legal Text (Extension)"/>
    <w:basedOn w:val="Normal"/>
    <w:qFormat/>
    <w:rsid w:val="00026539"/>
    <w:pPr>
      <w:ind w:left="187" w:right="187"/>
    </w:pPr>
    <w:rPr>
      <w:rFonts w:asciiTheme="majorHAnsi" w:eastAsia="Times New Roman" w:hAnsiTheme="majorHAnsi" w:cs="Arial"/>
      <w:color w:val="000000"/>
      <w:kern w:val="28"/>
      <w:sz w:val="16"/>
      <w:szCs w:val="16"/>
      <w:lang w:eastAsia="en-US"/>
    </w:rPr>
  </w:style>
  <w:style w:type="paragraph" w:customStyle="1" w:styleId="BullettextcloseExtension">
    <w:name w:val="Bullet text close (Extension)"/>
    <w:basedOn w:val="BullettextExtension"/>
    <w:rsid w:val="003F0ABB"/>
    <w:pPr>
      <w:spacing w:after="0"/>
    </w:pPr>
  </w:style>
  <w:style w:type="paragraph" w:customStyle="1" w:styleId="CitationExtension">
    <w:name w:val="Citation (Extension)"/>
    <w:basedOn w:val="Normal"/>
    <w:qFormat/>
    <w:rsid w:val="00183F52"/>
    <w:pPr>
      <w:pBdr>
        <w:top w:val="single" w:sz="6" w:space="1" w:color="7A0019" w:themeColor="accent1"/>
      </w:pBdr>
      <w:suppressAutoHyphens/>
      <w:autoSpaceDE w:val="0"/>
      <w:autoSpaceDN w:val="0"/>
      <w:adjustRightInd w:val="0"/>
      <w:spacing w:after="216" w:line="288" w:lineRule="auto"/>
      <w:textAlignment w:val="center"/>
    </w:pPr>
    <w:rPr>
      <w:rFonts w:ascii="Arial" w:hAnsi="Arial" w:cs="Arial"/>
      <w:color w:val="000000" w:themeColor="text1"/>
      <w:spacing w:val="3"/>
      <w:sz w:val="18"/>
      <w:szCs w:val="18"/>
    </w:rPr>
  </w:style>
  <w:style w:type="paragraph" w:customStyle="1" w:styleId="IntroLines">
    <w:name w:val="Intro Lines"/>
    <w:basedOn w:val="Normal"/>
    <w:link w:val="IntroLinesChar"/>
    <w:qFormat/>
    <w:rsid w:val="00183F52"/>
    <w:rPr>
      <w:rFonts w:asciiTheme="majorHAnsi" w:hAnsiTheme="majorHAnsi"/>
      <w:b/>
      <w:color w:val="580005" w:themeColor="accent4"/>
      <w:sz w:val="22"/>
      <w:szCs w:val="22"/>
    </w:rPr>
  </w:style>
  <w:style w:type="paragraph" w:customStyle="1" w:styleId="ProgramName">
    <w:name w:val="Program Name"/>
    <w:basedOn w:val="Normal"/>
    <w:link w:val="ProgramNameChar"/>
    <w:rsid w:val="00026539"/>
    <w:rPr>
      <w:rFonts w:asciiTheme="majorHAnsi" w:hAnsiTheme="majorHAnsi"/>
      <w:b/>
      <w:color w:val="7A0019" w:themeColor="accent1"/>
      <w:sz w:val="22"/>
      <w:szCs w:val="22"/>
    </w:rPr>
  </w:style>
  <w:style w:type="character" w:customStyle="1" w:styleId="IntroLinesChar">
    <w:name w:val="Intro Lines Char"/>
    <w:basedOn w:val="DefaultParagraphFont"/>
    <w:link w:val="IntroLines"/>
    <w:rsid w:val="00183F52"/>
    <w:rPr>
      <w:rFonts w:asciiTheme="majorHAnsi" w:hAnsiTheme="majorHAnsi"/>
      <w:b/>
      <w:color w:val="580005" w:themeColor="accent4"/>
      <w:sz w:val="22"/>
      <w:szCs w:val="22"/>
    </w:rPr>
  </w:style>
  <w:style w:type="paragraph" w:customStyle="1" w:styleId="Heading1Extension">
    <w:name w:val="Heading 1 (Extension)"/>
    <w:basedOn w:val="Heading1"/>
    <w:link w:val="Heading1ExtensionChar"/>
    <w:qFormat/>
    <w:rsid w:val="00026539"/>
    <w:pPr>
      <w:spacing w:before="0" w:after="120"/>
    </w:pPr>
    <w:rPr>
      <w:rFonts w:ascii="Arial" w:hAnsi="Arial" w:cs="Arial"/>
      <w:b w:val="0"/>
      <w:color w:val="CE1B22" w:themeColor="accent3"/>
      <w:spacing w:val="-20"/>
      <w:kern w:val="50"/>
      <w:sz w:val="47"/>
      <w:lang w:eastAsia="en-US" w:bidi="en-US"/>
    </w:rPr>
  </w:style>
  <w:style w:type="character" w:customStyle="1" w:styleId="ProgramNameChar">
    <w:name w:val="Program Name Char"/>
    <w:basedOn w:val="DefaultParagraphFont"/>
    <w:link w:val="ProgramName"/>
    <w:rsid w:val="00026539"/>
    <w:rPr>
      <w:rFonts w:asciiTheme="majorHAnsi" w:hAnsiTheme="majorHAnsi"/>
      <w:b/>
      <w:color w:val="7A0019" w:themeColor="accent1"/>
      <w:sz w:val="22"/>
      <w:szCs w:val="22"/>
    </w:rPr>
  </w:style>
  <w:style w:type="character" w:customStyle="1" w:styleId="Heading1ExtensionChar">
    <w:name w:val="Heading 1 (Extension) Char"/>
    <w:basedOn w:val="DefaultParagraphFont"/>
    <w:link w:val="Heading1Extension"/>
    <w:rsid w:val="00026539"/>
    <w:rPr>
      <w:rFonts w:ascii="Arial" w:eastAsiaTheme="majorEastAsia" w:hAnsi="Arial" w:cs="Arial"/>
      <w:bCs/>
      <w:color w:val="CE1B22" w:themeColor="accent3"/>
      <w:spacing w:val="-20"/>
      <w:kern w:val="50"/>
      <w:sz w:val="47"/>
      <w:szCs w:val="28"/>
      <w:lang w:eastAsia="en-US" w:bidi="en-US"/>
    </w:rPr>
  </w:style>
  <w:style w:type="paragraph" w:customStyle="1" w:styleId="Heading2Extension">
    <w:name w:val="Heading 2 (Extension)"/>
    <w:basedOn w:val="Heading2"/>
    <w:link w:val="Heading2ExtensionChar"/>
    <w:qFormat/>
    <w:rsid w:val="00026539"/>
    <w:pPr>
      <w:spacing w:before="0"/>
      <w:ind w:right="187"/>
    </w:pPr>
    <w:rPr>
      <w:rFonts w:ascii="Calibri" w:hAnsi="Calibri"/>
      <w:caps/>
      <w:color w:val="580005" w:themeColor="accent4"/>
      <w:kern w:val="50"/>
      <w:sz w:val="28"/>
      <w:lang w:eastAsia="en-US" w:bidi="en-US"/>
    </w:rPr>
  </w:style>
  <w:style w:type="character" w:customStyle="1" w:styleId="Heading2ExtensionChar">
    <w:name w:val="Heading 2 (Extension) Char"/>
    <w:basedOn w:val="DefaultParagraphFont"/>
    <w:link w:val="Heading2Extension"/>
    <w:rsid w:val="00026539"/>
    <w:rPr>
      <w:rFonts w:ascii="Calibri" w:eastAsiaTheme="majorEastAsia" w:hAnsi="Calibri" w:cstheme="majorBidi"/>
      <w:b/>
      <w:bCs/>
      <w:caps/>
      <w:color w:val="580005" w:themeColor="accent4"/>
      <w:kern w:val="50"/>
      <w:sz w:val="28"/>
      <w:szCs w:val="26"/>
      <w:lang w:eastAsia="en-US" w:bidi="en-US"/>
    </w:rPr>
  </w:style>
  <w:style w:type="paragraph" w:customStyle="1" w:styleId="Heading3Extension">
    <w:name w:val="Heading 3 (Extension)"/>
    <w:basedOn w:val="Heading3"/>
    <w:link w:val="Heading3ExtensionChar"/>
    <w:qFormat/>
    <w:rsid w:val="00183F52"/>
    <w:pPr>
      <w:autoSpaceDE w:val="0"/>
      <w:autoSpaceDN w:val="0"/>
      <w:adjustRightInd w:val="0"/>
      <w:spacing w:before="280" w:after="130"/>
    </w:pPr>
    <w:rPr>
      <w:rFonts w:ascii="Calibri" w:hAnsi="Calibri" w:cs="EXT DINOT-Bold"/>
      <w:b w:val="0"/>
      <w:bCs w:val="0"/>
      <w:caps/>
      <w:noProof/>
      <w:sz w:val="26"/>
      <w:szCs w:val="24"/>
      <w:lang w:eastAsia="en-US" w:bidi="en-US"/>
    </w:rPr>
  </w:style>
  <w:style w:type="character" w:customStyle="1" w:styleId="Heading3ExtensionChar">
    <w:name w:val="Heading 3 (Extension) Char"/>
    <w:basedOn w:val="DefaultParagraphFont"/>
    <w:link w:val="Heading3Extension"/>
    <w:rsid w:val="00183F52"/>
    <w:rPr>
      <w:rFonts w:ascii="Calibri" w:eastAsiaTheme="majorEastAsia" w:hAnsi="Calibri" w:cs="EXT DINOT-Bold"/>
      <w:caps/>
      <w:noProof/>
      <w:color w:val="7A0019" w:themeColor="accent1"/>
      <w:sz w:val="26"/>
      <w:szCs w:val="24"/>
      <w:lang w:eastAsia="en-US" w:bidi="en-US"/>
    </w:rPr>
  </w:style>
  <w:style w:type="paragraph" w:customStyle="1" w:styleId="Heading4Extension">
    <w:name w:val="Heading 4 (Extension)"/>
    <w:basedOn w:val="Normal"/>
    <w:qFormat/>
    <w:rsid w:val="00026539"/>
    <w:pPr>
      <w:spacing w:line="276" w:lineRule="auto"/>
    </w:pPr>
    <w:rPr>
      <w:rFonts w:ascii="Calibri" w:eastAsiaTheme="minorHAnsi" w:hAnsi="Calibri"/>
      <w:b/>
      <w:color w:val="CE1B22" w:themeColor="accent3"/>
      <w:sz w:val="26"/>
      <w:szCs w:val="26"/>
      <w:lang w:eastAsia="en-US"/>
    </w:rPr>
  </w:style>
  <w:style w:type="paragraph" w:customStyle="1" w:styleId="SubtitleExtension">
    <w:name w:val="Subtitle (Extension)"/>
    <w:basedOn w:val="Normal"/>
    <w:qFormat/>
    <w:rsid w:val="00026539"/>
    <w:pPr>
      <w:spacing w:line="276" w:lineRule="auto"/>
    </w:pPr>
    <w:rPr>
      <w:rFonts w:ascii="Lucida Bright" w:eastAsiaTheme="minorHAnsi" w:hAnsi="Lucida Bright"/>
      <w:i/>
      <w:sz w:val="21"/>
      <w:szCs w:val="21"/>
      <w:lang w:eastAsia="en-US"/>
    </w:rPr>
  </w:style>
  <w:style w:type="paragraph" w:customStyle="1" w:styleId="SubtleSubtitleExtension">
    <w:name w:val="Subtle Subtitle (Extension)"/>
    <w:basedOn w:val="Normal"/>
    <w:uiPriority w:val="1"/>
    <w:qFormat/>
    <w:rsid w:val="00026539"/>
    <w:rPr>
      <w:rFonts w:ascii="Lucida Bright" w:hAnsi="Lucida Bright"/>
      <w:i/>
      <w:color w:val="877E78"/>
      <w:sz w:val="21"/>
      <w:szCs w:val="21"/>
    </w:rPr>
  </w:style>
  <w:style w:type="paragraph" w:customStyle="1" w:styleId="BulletExtension">
    <w:name w:val="Bullet (Extension)"/>
    <w:basedOn w:val="Normal"/>
    <w:qFormat/>
    <w:rsid w:val="00026539"/>
    <w:pPr>
      <w:numPr>
        <w:numId w:val="2"/>
      </w:numPr>
      <w:spacing w:before="120" w:after="120"/>
    </w:pPr>
    <w:rPr>
      <w:rFonts w:ascii="Lucida Bright" w:eastAsiaTheme="minorHAnsi" w:hAnsi="Lucida Bright"/>
      <w:color w:val="000000" w:themeColor="text1"/>
      <w:kern w:val="50"/>
      <w:sz w:val="21"/>
      <w:szCs w:val="22"/>
      <w:lang w:eastAsia="en-US" w:bidi="en-US"/>
    </w:rPr>
  </w:style>
  <w:style w:type="table" w:styleId="TableGrid">
    <w:name w:val="Table Grid"/>
    <w:basedOn w:val="TableNormal"/>
    <w:uiPriority w:val="59"/>
    <w:rsid w:val="001F46E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SLegalCopy">
    <w:name w:val="IS_Legal Copy"/>
    <w:basedOn w:val="Normal"/>
    <w:rsid w:val="00E03885"/>
    <w:pPr>
      <w:spacing w:line="288" w:lineRule="auto"/>
      <w:ind w:left="187" w:right="187"/>
      <w:jc w:val="center"/>
    </w:pPr>
    <w:rPr>
      <w:rFonts w:ascii="Arial" w:eastAsia="Times New Roman" w:hAnsi="Arial" w:cs="Arial"/>
      <w:i/>
      <w:color w:val="000000"/>
      <w:kern w:val="28"/>
      <w:sz w:val="15"/>
      <w:szCs w:val="15"/>
      <w:lang w:eastAsia="en-US"/>
    </w:rPr>
  </w:style>
  <w:style w:type="character" w:styleId="CommentReference">
    <w:name w:val="annotation reference"/>
    <w:basedOn w:val="DefaultParagraphFont"/>
    <w:uiPriority w:val="99"/>
    <w:semiHidden/>
    <w:unhideWhenUsed/>
    <w:rsid w:val="00156F3E"/>
    <w:rPr>
      <w:sz w:val="16"/>
      <w:szCs w:val="16"/>
    </w:rPr>
  </w:style>
  <w:style w:type="paragraph" w:styleId="CommentText">
    <w:name w:val="annotation text"/>
    <w:basedOn w:val="Normal"/>
    <w:link w:val="CommentTextChar"/>
    <w:uiPriority w:val="99"/>
    <w:semiHidden/>
    <w:unhideWhenUsed/>
    <w:rsid w:val="00156F3E"/>
    <w:pPr>
      <w:spacing w:after="200"/>
    </w:pPr>
    <w:rPr>
      <w:lang w:eastAsia="zh-CN"/>
    </w:rPr>
  </w:style>
  <w:style w:type="character" w:customStyle="1" w:styleId="CommentTextChar">
    <w:name w:val="Comment Text Char"/>
    <w:basedOn w:val="DefaultParagraphFont"/>
    <w:link w:val="CommentText"/>
    <w:uiPriority w:val="99"/>
    <w:semiHidden/>
    <w:rsid w:val="00156F3E"/>
    <w:rPr>
      <w:lang w:eastAsia="zh-CN"/>
    </w:rPr>
  </w:style>
  <w:style w:type="character" w:styleId="Hyperlink">
    <w:name w:val="Hyperlink"/>
    <w:basedOn w:val="DefaultParagraphFont"/>
    <w:uiPriority w:val="99"/>
    <w:unhideWhenUsed/>
    <w:rsid w:val="00E636D0"/>
    <w:rPr>
      <w:color w:val="CE1B22" w:themeColor="hyperlink"/>
      <w:u w:val="single"/>
    </w:rPr>
  </w:style>
  <w:style w:type="paragraph" w:styleId="NormalWeb">
    <w:name w:val="Normal (Web)"/>
    <w:basedOn w:val="Normal"/>
    <w:uiPriority w:val="99"/>
    <w:unhideWhenUsed/>
    <w:rsid w:val="002B553C"/>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B4550C"/>
    <w:rPr>
      <w:rFonts w:eastAsiaTheme="minorHAnsi"/>
      <w:b/>
      <w:bCs/>
      <w:lang w:eastAsia="en-US"/>
    </w:rPr>
  </w:style>
  <w:style w:type="character" w:customStyle="1" w:styleId="CommentSubjectChar">
    <w:name w:val="Comment Subject Char"/>
    <w:basedOn w:val="CommentTextChar"/>
    <w:link w:val="CommentSubject"/>
    <w:uiPriority w:val="99"/>
    <w:semiHidden/>
    <w:rsid w:val="00B4550C"/>
    <w:rPr>
      <w:rFonts w:eastAsiaTheme="minorHAnsi"/>
      <w:b/>
      <w:bCs/>
      <w:lang w:eastAsia="en-US"/>
    </w:rPr>
  </w:style>
  <w:style w:type="paragraph" w:styleId="Revision">
    <w:name w:val="Revision"/>
    <w:hidden/>
    <w:uiPriority w:val="99"/>
    <w:semiHidden/>
    <w:rsid w:val="00DC7DA0"/>
    <w:pPr>
      <w:spacing w:after="0"/>
    </w:pPr>
  </w:style>
  <w:style w:type="character" w:styleId="FollowedHyperlink">
    <w:name w:val="FollowedHyperlink"/>
    <w:basedOn w:val="DefaultParagraphFont"/>
    <w:uiPriority w:val="99"/>
    <w:semiHidden/>
    <w:unhideWhenUsed/>
    <w:rsid w:val="00F47DD7"/>
    <w:rPr>
      <w:color w:val="EE787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C3C5A"/>
    <w:pPr>
      <w:spacing w:after="0"/>
    </w:pPr>
  </w:style>
  <w:style w:type="paragraph" w:styleId="Heading1">
    <w:name w:val="heading 1"/>
    <w:basedOn w:val="Normal"/>
    <w:next w:val="Normal"/>
    <w:link w:val="Heading1Char"/>
    <w:uiPriority w:val="9"/>
    <w:rsid w:val="000955F3"/>
    <w:pPr>
      <w:keepNext/>
      <w:keepLines/>
      <w:spacing w:before="480"/>
      <w:outlineLvl w:val="0"/>
    </w:pPr>
    <w:rPr>
      <w:rFonts w:asciiTheme="majorHAnsi" w:eastAsiaTheme="majorEastAsia" w:hAnsiTheme="majorHAnsi" w:cstheme="majorBidi"/>
      <w:b/>
      <w:bCs/>
      <w:color w:val="5B0012" w:themeColor="accent1" w:themeShade="BF"/>
      <w:sz w:val="28"/>
      <w:szCs w:val="28"/>
    </w:rPr>
  </w:style>
  <w:style w:type="paragraph" w:styleId="Heading2">
    <w:name w:val="heading 2"/>
    <w:basedOn w:val="Normal"/>
    <w:next w:val="Normal"/>
    <w:link w:val="Heading2Char"/>
    <w:uiPriority w:val="9"/>
    <w:semiHidden/>
    <w:unhideWhenUsed/>
    <w:rsid w:val="000955F3"/>
    <w:pPr>
      <w:keepNext/>
      <w:keepLines/>
      <w:spacing w:before="200"/>
      <w:outlineLvl w:val="1"/>
    </w:pPr>
    <w:rPr>
      <w:rFonts w:asciiTheme="majorHAnsi" w:eastAsiaTheme="majorEastAsia" w:hAnsiTheme="majorHAnsi" w:cstheme="majorBidi"/>
      <w:b/>
      <w:bCs/>
      <w:color w:val="7A0019" w:themeColor="accent1"/>
      <w:sz w:val="26"/>
      <w:szCs w:val="26"/>
    </w:rPr>
  </w:style>
  <w:style w:type="paragraph" w:styleId="Heading3">
    <w:name w:val="heading 3"/>
    <w:basedOn w:val="Normal"/>
    <w:next w:val="Normal"/>
    <w:link w:val="Heading3Char"/>
    <w:uiPriority w:val="9"/>
    <w:semiHidden/>
    <w:unhideWhenUsed/>
    <w:qFormat/>
    <w:rsid w:val="00026539"/>
    <w:pPr>
      <w:keepNext/>
      <w:keepLines/>
      <w:spacing w:before="200"/>
      <w:outlineLvl w:val="2"/>
    </w:pPr>
    <w:rPr>
      <w:rFonts w:asciiTheme="majorHAnsi" w:eastAsiaTheme="majorEastAsia" w:hAnsiTheme="majorHAnsi" w:cstheme="majorBidi"/>
      <w:b/>
      <w:bCs/>
      <w:color w:val="7A001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26539"/>
    <w:rPr>
      <w:rFonts w:asciiTheme="majorHAnsi" w:eastAsiaTheme="majorEastAsia" w:hAnsiTheme="majorHAnsi" w:cstheme="majorBidi"/>
      <w:b/>
      <w:bCs/>
      <w:color w:val="7A0019" w:themeColor="accent1"/>
      <w:sz w:val="24"/>
    </w:rPr>
  </w:style>
  <w:style w:type="paragraph" w:styleId="Header">
    <w:name w:val="header"/>
    <w:basedOn w:val="Normal"/>
    <w:link w:val="HeaderChar"/>
    <w:uiPriority w:val="99"/>
    <w:semiHidden/>
    <w:unhideWhenUsed/>
    <w:rsid w:val="0052797E"/>
    <w:pPr>
      <w:tabs>
        <w:tab w:val="center" w:pos="4680"/>
        <w:tab w:val="right" w:pos="9360"/>
      </w:tabs>
    </w:pPr>
  </w:style>
  <w:style w:type="character" w:customStyle="1" w:styleId="Heading1Char">
    <w:name w:val="Heading 1 Char"/>
    <w:basedOn w:val="DefaultParagraphFont"/>
    <w:link w:val="Heading1"/>
    <w:uiPriority w:val="9"/>
    <w:rsid w:val="000955F3"/>
    <w:rPr>
      <w:rFonts w:asciiTheme="majorHAnsi" w:eastAsiaTheme="majorEastAsia" w:hAnsiTheme="majorHAnsi" w:cstheme="majorBidi"/>
      <w:b/>
      <w:bCs/>
      <w:color w:val="5B0012" w:themeColor="accent1" w:themeShade="BF"/>
      <w:sz w:val="28"/>
      <w:szCs w:val="28"/>
    </w:rPr>
  </w:style>
  <w:style w:type="character" w:customStyle="1" w:styleId="HeaderChar">
    <w:name w:val="Header Char"/>
    <w:basedOn w:val="DefaultParagraphFont"/>
    <w:link w:val="Header"/>
    <w:uiPriority w:val="99"/>
    <w:semiHidden/>
    <w:rsid w:val="0052797E"/>
  </w:style>
  <w:style w:type="paragraph" w:styleId="Footer">
    <w:name w:val="footer"/>
    <w:basedOn w:val="Normal"/>
    <w:link w:val="FooterChar"/>
    <w:uiPriority w:val="99"/>
    <w:semiHidden/>
    <w:unhideWhenUsed/>
    <w:rsid w:val="0052797E"/>
    <w:pPr>
      <w:tabs>
        <w:tab w:val="center" w:pos="4680"/>
        <w:tab w:val="right" w:pos="9360"/>
      </w:tabs>
    </w:pPr>
  </w:style>
  <w:style w:type="character" w:customStyle="1" w:styleId="Heading2Char">
    <w:name w:val="Heading 2 Char"/>
    <w:basedOn w:val="DefaultParagraphFont"/>
    <w:link w:val="Heading2"/>
    <w:uiPriority w:val="9"/>
    <w:semiHidden/>
    <w:rsid w:val="000955F3"/>
    <w:rPr>
      <w:rFonts w:asciiTheme="majorHAnsi" w:eastAsiaTheme="majorEastAsia" w:hAnsiTheme="majorHAnsi" w:cstheme="majorBidi"/>
      <w:b/>
      <w:bCs/>
      <w:color w:val="7A0019" w:themeColor="accent1"/>
      <w:sz w:val="26"/>
      <w:szCs w:val="26"/>
    </w:rPr>
  </w:style>
  <w:style w:type="character" w:customStyle="1" w:styleId="FooterChar">
    <w:name w:val="Footer Char"/>
    <w:basedOn w:val="DefaultParagraphFont"/>
    <w:link w:val="Footer"/>
    <w:uiPriority w:val="99"/>
    <w:semiHidden/>
    <w:rsid w:val="0052797E"/>
  </w:style>
  <w:style w:type="paragraph" w:styleId="BalloonText">
    <w:name w:val="Balloon Text"/>
    <w:basedOn w:val="Normal"/>
    <w:link w:val="BalloonTextChar"/>
    <w:uiPriority w:val="99"/>
    <w:semiHidden/>
    <w:unhideWhenUsed/>
    <w:rsid w:val="0052797E"/>
    <w:rPr>
      <w:rFonts w:ascii="Tahoma" w:hAnsi="Tahoma" w:cs="Tahoma"/>
      <w:sz w:val="16"/>
      <w:szCs w:val="16"/>
    </w:rPr>
  </w:style>
  <w:style w:type="character" w:customStyle="1" w:styleId="BalloonTextChar">
    <w:name w:val="Balloon Text Char"/>
    <w:basedOn w:val="DefaultParagraphFont"/>
    <w:link w:val="BalloonText"/>
    <w:uiPriority w:val="99"/>
    <w:semiHidden/>
    <w:rsid w:val="0052797E"/>
    <w:rPr>
      <w:rFonts w:ascii="Tahoma" w:hAnsi="Tahoma" w:cs="Tahoma"/>
      <w:sz w:val="16"/>
      <w:szCs w:val="16"/>
    </w:rPr>
  </w:style>
  <w:style w:type="paragraph" w:customStyle="1" w:styleId="TitleExtension">
    <w:name w:val="Title Extension"/>
    <w:qFormat/>
    <w:rsid w:val="00026539"/>
    <w:pPr>
      <w:spacing w:after="120" w:line="480" w:lineRule="atLeast"/>
    </w:pPr>
    <w:rPr>
      <w:rFonts w:ascii="Arial" w:hAnsi="Arial" w:cs="Arial"/>
      <w:color w:val="CE1B22" w:themeColor="accent3"/>
      <w:spacing w:val="-20"/>
      <w:sz w:val="47"/>
      <w:szCs w:val="47"/>
    </w:rPr>
  </w:style>
  <w:style w:type="paragraph" w:customStyle="1" w:styleId="BodyTextExtension">
    <w:name w:val="Body Text (Extension"/>
    <w:basedOn w:val="Normal"/>
    <w:qFormat/>
    <w:rsid w:val="00137426"/>
    <w:pPr>
      <w:autoSpaceDE w:val="0"/>
      <w:autoSpaceDN w:val="0"/>
      <w:adjustRightInd w:val="0"/>
      <w:spacing w:after="120" w:line="288" w:lineRule="auto"/>
    </w:pPr>
    <w:rPr>
      <w:rFonts w:ascii="Lucida Bright" w:eastAsiaTheme="minorHAnsi" w:hAnsi="Lucida Bright" w:cs="EXT DINOT-Bold"/>
      <w:color w:val="000000" w:themeColor="text1"/>
      <w:sz w:val="21"/>
      <w:szCs w:val="24"/>
      <w:lang w:eastAsia="en-US" w:bidi="en-US"/>
    </w:rPr>
  </w:style>
  <w:style w:type="paragraph" w:customStyle="1" w:styleId="SubheadExtension">
    <w:name w:val="Subhead Extension"/>
    <w:qFormat/>
    <w:rsid w:val="00A5656E"/>
    <w:pPr>
      <w:spacing w:before="240" w:after="90"/>
    </w:pPr>
    <w:rPr>
      <w:rFonts w:asciiTheme="majorHAnsi" w:hAnsiTheme="majorHAnsi" w:cs="HelveticaNeueLTStd-Bd"/>
      <w:b/>
      <w:bCs/>
      <w:color w:val="7A0019" w:themeColor="accent1"/>
      <w:sz w:val="22"/>
      <w:szCs w:val="22"/>
    </w:rPr>
  </w:style>
  <w:style w:type="paragraph" w:customStyle="1" w:styleId="BullettextExtension">
    <w:name w:val="Bullet text (Extension)"/>
    <w:qFormat/>
    <w:rsid w:val="00137426"/>
    <w:pPr>
      <w:numPr>
        <w:numId w:val="1"/>
      </w:numPr>
      <w:spacing w:line="288" w:lineRule="auto"/>
      <w:ind w:left="360"/>
    </w:pPr>
    <w:rPr>
      <w:sz w:val="21"/>
      <w:szCs w:val="21"/>
    </w:rPr>
  </w:style>
  <w:style w:type="paragraph" w:customStyle="1" w:styleId="CaptionExtension">
    <w:name w:val="Caption (Extension)"/>
    <w:basedOn w:val="Normal"/>
    <w:uiPriority w:val="1"/>
    <w:qFormat/>
    <w:rsid w:val="00D518B3"/>
    <w:pPr>
      <w:spacing w:before="240" w:after="360"/>
    </w:pPr>
    <w:rPr>
      <w:rFonts w:ascii="Calibri" w:hAnsi="Calibri" w:cstheme="minorHAnsi"/>
      <w:color w:val="7A0019"/>
    </w:rPr>
  </w:style>
  <w:style w:type="paragraph" w:customStyle="1" w:styleId="NoParagraphStyle">
    <w:name w:val="[No Paragraph Style]"/>
    <w:rsid w:val="00822407"/>
    <w:pPr>
      <w:autoSpaceDE w:val="0"/>
      <w:autoSpaceDN w:val="0"/>
      <w:adjustRightInd w:val="0"/>
      <w:spacing w:after="0" w:line="288" w:lineRule="auto"/>
      <w:textAlignment w:val="center"/>
    </w:pPr>
    <w:rPr>
      <w:rFonts w:ascii="HelveticaNeueLTStd-Bd" w:hAnsi="HelveticaNeueLTStd-Bd"/>
      <w:color w:val="000000"/>
      <w:sz w:val="24"/>
      <w:szCs w:val="24"/>
    </w:rPr>
  </w:style>
  <w:style w:type="paragraph" w:customStyle="1" w:styleId="Call-outtextwhiteExtension">
    <w:name w:val="Call-out text white (Extension)"/>
    <w:basedOn w:val="Normal"/>
    <w:rsid w:val="001F46E7"/>
    <w:pPr>
      <w:shd w:val="clear" w:color="auto" w:fill="7A0019" w:themeFill="accent1"/>
      <w:suppressAutoHyphens/>
      <w:autoSpaceDE w:val="0"/>
      <w:autoSpaceDN w:val="0"/>
      <w:adjustRightInd w:val="0"/>
      <w:ind w:left="180" w:right="195"/>
      <w:textAlignment w:val="center"/>
    </w:pPr>
    <w:rPr>
      <w:rFonts w:asciiTheme="majorHAnsi" w:hAnsiTheme="majorHAnsi" w:cs="GlyphaLTStd"/>
      <w:color w:val="FFFFFF" w:themeColor="background1"/>
      <w:spacing w:val="3"/>
      <w:sz w:val="18"/>
      <w:szCs w:val="18"/>
    </w:rPr>
  </w:style>
  <w:style w:type="paragraph" w:customStyle="1" w:styleId="LegalTextExtension">
    <w:name w:val="Legal Text (Extension)"/>
    <w:basedOn w:val="Normal"/>
    <w:qFormat/>
    <w:rsid w:val="00026539"/>
    <w:pPr>
      <w:ind w:left="187" w:right="187"/>
    </w:pPr>
    <w:rPr>
      <w:rFonts w:asciiTheme="majorHAnsi" w:eastAsia="Times New Roman" w:hAnsiTheme="majorHAnsi" w:cs="Arial"/>
      <w:color w:val="000000"/>
      <w:kern w:val="28"/>
      <w:sz w:val="16"/>
      <w:szCs w:val="16"/>
      <w:lang w:eastAsia="en-US"/>
    </w:rPr>
  </w:style>
  <w:style w:type="paragraph" w:customStyle="1" w:styleId="BullettextcloseExtension">
    <w:name w:val="Bullet text close (Extension)"/>
    <w:basedOn w:val="BullettextExtension"/>
    <w:rsid w:val="003F0ABB"/>
    <w:pPr>
      <w:spacing w:after="0"/>
    </w:pPr>
  </w:style>
  <w:style w:type="paragraph" w:customStyle="1" w:styleId="CitationExtension">
    <w:name w:val="Citation (Extension)"/>
    <w:basedOn w:val="Normal"/>
    <w:qFormat/>
    <w:rsid w:val="00183F52"/>
    <w:pPr>
      <w:pBdr>
        <w:top w:val="single" w:sz="6" w:space="1" w:color="7A0019" w:themeColor="accent1"/>
      </w:pBdr>
      <w:suppressAutoHyphens/>
      <w:autoSpaceDE w:val="0"/>
      <w:autoSpaceDN w:val="0"/>
      <w:adjustRightInd w:val="0"/>
      <w:spacing w:after="216" w:line="288" w:lineRule="auto"/>
      <w:textAlignment w:val="center"/>
    </w:pPr>
    <w:rPr>
      <w:rFonts w:ascii="Arial" w:hAnsi="Arial" w:cs="Arial"/>
      <w:color w:val="000000" w:themeColor="text1"/>
      <w:spacing w:val="3"/>
      <w:sz w:val="18"/>
      <w:szCs w:val="18"/>
    </w:rPr>
  </w:style>
  <w:style w:type="paragraph" w:customStyle="1" w:styleId="IntroLines">
    <w:name w:val="Intro Lines"/>
    <w:basedOn w:val="Normal"/>
    <w:link w:val="IntroLinesChar"/>
    <w:qFormat/>
    <w:rsid w:val="00183F52"/>
    <w:rPr>
      <w:rFonts w:asciiTheme="majorHAnsi" w:hAnsiTheme="majorHAnsi"/>
      <w:b/>
      <w:color w:val="580005" w:themeColor="accent4"/>
      <w:sz w:val="22"/>
      <w:szCs w:val="22"/>
    </w:rPr>
  </w:style>
  <w:style w:type="paragraph" w:customStyle="1" w:styleId="ProgramName">
    <w:name w:val="Program Name"/>
    <w:basedOn w:val="Normal"/>
    <w:link w:val="ProgramNameChar"/>
    <w:rsid w:val="00026539"/>
    <w:rPr>
      <w:rFonts w:asciiTheme="majorHAnsi" w:hAnsiTheme="majorHAnsi"/>
      <w:b/>
      <w:color w:val="7A0019" w:themeColor="accent1"/>
      <w:sz w:val="22"/>
      <w:szCs w:val="22"/>
    </w:rPr>
  </w:style>
  <w:style w:type="character" w:customStyle="1" w:styleId="IntroLinesChar">
    <w:name w:val="Intro Lines Char"/>
    <w:basedOn w:val="DefaultParagraphFont"/>
    <w:link w:val="IntroLines"/>
    <w:rsid w:val="00183F52"/>
    <w:rPr>
      <w:rFonts w:asciiTheme="majorHAnsi" w:hAnsiTheme="majorHAnsi"/>
      <w:b/>
      <w:color w:val="580005" w:themeColor="accent4"/>
      <w:sz w:val="22"/>
      <w:szCs w:val="22"/>
    </w:rPr>
  </w:style>
  <w:style w:type="paragraph" w:customStyle="1" w:styleId="Heading1Extension">
    <w:name w:val="Heading 1 (Extension)"/>
    <w:basedOn w:val="Heading1"/>
    <w:link w:val="Heading1ExtensionChar"/>
    <w:qFormat/>
    <w:rsid w:val="00026539"/>
    <w:pPr>
      <w:spacing w:before="0" w:after="120"/>
    </w:pPr>
    <w:rPr>
      <w:rFonts w:ascii="Arial" w:hAnsi="Arial" w:cs="Arial"/>
      <w:b w:val="0"/>
      <w:color w:val="CE1B22" w:themeColor="accent3"/>
      <w:spacing w:val="-20"/>
      <w:kern w:val="50"/>
      <w:sz w:val="47"/>
      <w:lang w:eastAsia="en-US" w:bidi="en-US"/>
    </w:rPr>
  </w:style>
  <w:style w:type="character" w:customStyle="1" w:styleId="ProgramNameChar">
    <w:name w:val="Program Name Char"/>
    <w:basedOn w:val="DefaultParagraphFont"/>
    <w:link w:val="ProgramName"/>
    <w:rsid w:val="00026539"/>
    <w:rPr>
      <w:rFonts w:asciiTheme="majorHAnsi" w:hAnsiTheme="majorHAnsi"/>
      <w:b/>
      <w:color w:val="7A0019" w:themeColor="accent1"/>
      <w:sz w:val="22"/>
      <w:szCs w:val="22"/>
    </w:rPr>
  </w:style>
  <w:style w:type="character" w:customStyle="1" w:styleId="Heading1ExtensionChar">
    <w:name w:val="Heading 1 (Extension) Char"/>
    <w:basedOn w:val="DefaultParagraphFont"/>
    <w:link w:val="Heading1Extension"/>
    <w:rsid w:val="00026539"/>
    <w:rPr>
      <w:rFonts w:ascii="Arial" w:eastAsiaTheme="majorEastAsia" w:hAnsi="Arial" w:cs="Arial"/>
      <w:bCs/>
      <w:color w:val="CE1B22" w:themeColor="accent3"/>
      <w:spacing w:val="-20"/>
      <w:kern w:val="50"/>
      <w:sz w:val="47"/>
      <w:szCs w:val="28"/>
      <w:lang w:eastAsia="en-US" w:bidi="en-US"/>
    </w:rPr>
  </w:style>
  <w:style w:type="paragraph" w:customStyle="1" w:styleId="Heading2Extension">
    <w:name w:val="Heading 2 (Extension)"/>
    <w:basedOn w:val="Heading2"/>
    <w:link w:val="Heading2ExtensionChar"/>
    <w:qFormat/>
    <w:rsid w:val="00026539"/>
    <w:pPr>
      <w:spacing w:before="0"/>
      <w:ind w:right="187"/>
    </w:pPr>
    <w:rPr>
      <w:rFonts w:ascii="Calibri" w:hAnsi="Calibri"/>
      <w:caps/>
      <w:color w:val="580005" w:themeColor="accent4"/>
      <w:kern w:val="50"/>
      <w:sz w:val="28"/>
      <w:lang w:eastAsia="en-US" w:bidi="en-US"/>
    </w:rPr>
  </w:style>
  <w:style w:type="character" w:customStyle="1" w:styleId="Heading2ExtensionChar">
    <w:name w:val="Heading 2 (Extension) Char"/>
    <w:basedOn w:val="DefaultParagraphFont"/>
    <w:link w:val="Heading2Extension"/>
    <w:rsid w:val="00026539"/>
    <w:rPr>
      <w:rFonts w:ascii="Calibri" w:eastAsiaTheme="majorEastAsia" w:hAnsi="Calibri" w:cstheme="majorBidi"/>
      <w:b/>
      <w:bCs/>
      <w:caps/>
      <w:color w:val="580005" w:themeColor="accent4"/>
      <w:kern w:val="50"/>
      <w:sz w:val="28"/>
      <w:szCs w:val="26"/>
      <w:lang w:eastAsia="en-US" w:bidi="en-US"/>
    </w:rPr>
  </w:style>
  <w:style w:type="paragraph" w:customStyle="1" w:styleId="Heading3Extension">
    <w:name w:val="Heading 3 (Extension)"/>
    <w:basedOn w:val="Heading3"/>
    <w:link w:val="Heading3ExtensionChar"/>
    <w:qFormat/>
    <w:rsid w:val="00183F52"/>
    <w:pPr>
      <w:autoSpaceDE w:val="0"/>
      <w:autoSpaceDN w:val="0"/>
      <w:adjustRightInd w:val="0"/>
      <w:spacing w:before="280" w:after="130"/>
    </w:pPr>
    <w:rPr>
      <w:rFonts w:ascii="Calibri" w:hAnsi="Calibri" w:cs="EXT DINOT-Bold"/>
      <w:b w:val="0"/>
      <w:bCs w:val="0"/>
      <w:caps/>
      <w:noProof/>
      <w:sz w:val="26"/>
      <w:szCs w:val="24"/>
      <w:lang w:eastAsia="en-US" w:bidi="en-US"/>
    </w:rPr>
  </w:style>
  <w:style w:type="character" w:customStyle="1" w:styleId="Heading3ExtensionChar">
    <w:name w:val="Heading 3 (Extension) Char"/>
    <w:basedOn w:val="DefaultParagraphFont"/>
    <w:link w:val="Heading3Extension"/>
    <w:rsid w:val="00183F52"/>
    <w:rPr>
      <w:rFonts w:ascii="Calibri" w:eastAsiaTheme="majorEastAsia" w:hAnsi="Calibri" w:cs="EXT DINOT-Bold"/>
      <w:caps/>
      <w:noProof/>
      <w:color w:val="7A0019" w:themeColor="accent1"/>
      <w:sz w:val="26"/>
      <w:szCs w:val="24"/>
      <w:lang w:eastAsia="en-US" w:bidi="en-US"/>
    </w:rPr>
  </w:style>
  <w:style w:type="paragraph" w:customStyle="1" w:styleId="Heading4Extension">
    <w:name w:val="Heading 4 (Extension)"/>
    <w:basedOn w:val="Normal"/>
    <w:qFormat/>
    <w:rsid w:val="00026539"/>
    <w:pPr>
      <w:spacing w:line="276" w:lineRule="auto"/>
    </w:pPr>
    <w:rPr>
      <w:rFonts w:ascii="Calibri" w:eastAsiaTheme="minorHAnsi" w:hAnsi="Calibri"/>
      <w:b/>
      <w:color w:val="CE1B22" w:themeColor="accent3"/>
      <w:sz w:val="26"/>
      <w:szCs w:val="26"/>
      <w:lang w:eastAsia="en-US"/>
    </w:rPr>
  </w:style>
  <w:style w:type="paragraph" w:customStyle="1" w:styleId="SubtitleExtension">
    <w:name w:val="Subtitle (Extension)"/>
    <w:basedOn w:val="Normal"/>
    <w:qFormat/>
    <w:rsid w:val="00026539"/>
    <w:pPr>
      <w:spacing w:line="276" w:lineRule="auto"/>
    </w:pPr>
    <w:rPr>
      <w:rFonts w:ascii="Lucida Bright" w:eastAsiaTheme="minorHAnsi" w:hAnsi="Lucida Bright"/>
      <w:i/>
      <w:sz w:val="21"/>
      <w:szCs w:val="21"/>
      <w:lang w:eastAsia="en-US"/>
    </w:rPr>
  </w:style>
  <w:style w:type="paragraph" w:customStyle="1" w:styleId="SubtleSubtitleExtension">
    <w:name w:val="Subtle Subtitle (Extension)"/>
    <w:basedOn w:val="Normal"/>
    <w:uiPriority w:val="1"/>
    <w:qFormat/>
    <w:rsid w:val="00026539"/>
    <w:rPr>
      <w:rFonts w:ascii="Lucida Bright" w:hAnsi="Lucida Bright"/>
      <w:i/>
      <w:color w:val="877E78"/>
      <w:sz w:val="21"/>
      <w:szCs w:val="21"/>
    </w:rPr>
  </w:style>
  <w:style w:type="paragraph" w:customStyle="1" w:styleId="BulletExtension">
    <w:name w:val="Bullet (Extension)"/>
    <w:basedOn w:val="Normal"/>
    <w:qFormat/>
    <w:rsid w:val="00026539"/>
    <w:pPr>
      <w:numPr>
        <w:numId w:val="2"/>
      </w:numPr>
      <w:spacing w:before="120" w:after="120"/>
    </w:pPr>
    <w:rPr>
      <w:rFonts w:ascii="Lucida Bright" w:eastAsiaTheme="minorHAnsi" w:hAnsi="Lucida Bright"/>
      <w:color w:val="000000" w:themeColor="text1"/>
      <w:kern w:val="50"/>
      <w:sz w:val="21"/>
      <w:szCs w:val="22"/>
      <w:lang w:eastAsia="en-US" w:bidi="en-US"/>
    </w:rPr>
  </w:style>
  <w:style w:type="table" w:styleId="TableGrid">
    <w:name w:val="Table Grid"/>
    <w:basedOn w:val="TableNormal"/>
    <w:uiPriority w:val="59"/>
    <w:rsid w:val="001F46E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SLegalCopy">
    <w:name w:val="IS_Legal Copy"/>
    <w:basedOn w:val="Normal"/>
    <w:rsid w:val="00E03885"/>
    <w:pPr>
      <w:spacing w:line="288" w:lineRule="auto"/>
      <w:ind w:left="187" w:right="187"/>
      <w:jc w:val="center"/>
    </w:pPr>
    <w:rPr>
      <w:rFonts w:ascii="Arial" w:eastAsia="Times New Roman" w:hAnsi="Arial" w:cs="Arial"/>
      <w:i/>
      <w:color w:val="000000"/>
      <w:kern w:val="28"/>
      <w:sz w:val="15"/>
      <w:szCs w:val="15"/>
      <w:lang w:eastAsia="en-US"/>
    </w:rPr>
  </w:style>
  <w:style w:type="character" w:styleId="CommentReference">
    <w:name w:val="annotation reference"/>
    <w:basedOn w:val="DefaultParagraphFont"/>
    <w:uiPriority w:val="99"/>
    <w:semiHidden/>
    <w:unhideWhenUsed/>
    <w:rsid w:val="00156F3E"/>
    <w:rPr>
      <w:sz w:val="16"/>
      <w:szCs w:val="16"/>
    </w:rPr>
  </w:style>
  <w:style w:type="paragraph" w:styleId="CommentText">
    <w:name w:val="annotation text"/>
    <w:basedOn w:val="Normal"/>
    <w:link w:val="CommentTextChar"/>
    <w:uiPriority w:val="99"/>
    <w:semiHidden/>
    <w:unhideWhenUsed/>
    <w:rsid w:val="00156F3E"/>
    <w:pPr>
      <w:spacing w:after="200"/>
    </w:pPr>
    <w:rPr>
      <w:lang w:eastAsia="zh-CN"/>
    </w:rPr>
  </w:style>
  <w:style w:type="character" w:customStyle="1" w:styleId="CommentTextChar">
    <w:name w:val="Comment Text Char"/>
    <w:basedOn w:val="DefaultParagraphFont"/>
    <w:link w:val="CommentText"/>
    <w:uiPriority w:val="99"/>
    <w:semiHidden/>
    <w:rsid w:val="00156F3E"/>
    <w:rPr>
      <w:lang w:eastAsia="zh-CN"/>
    </w:rPr>
  </w:style>
  <w:style w:type="character" w:styleId="Hyperlink">
    <w:name w:val="Hyperlink"/>
    <w:basedOn w:val="DefaultParagraphFont"/>
    <w:uiPriority w:val="99"/>
    <w:unhideWhenUsed/>
    <w:rsid w:val="00E636D0"/>
    <w:rPr>
      <w:color w:val="CE1B22" w:themeColor="hyperlink"/>
      <w:u w:val="single"/>
    </w:rPr>
  </w:style>
  <w:style w:type="paragraph" w:styleId="NormalWeb">
    <w:name w:val="Normal (Web)"/>
    <w:basedOn w:val="Normal"/>
    <w:uiPriority w:val="99"/>
    <w:unhideWhenUsed/>
    <w:rsid w:val="002B553C"/>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B4550C"/>
    <w:rPr>
      <w:rFonts w:eastAsiaTheme="minorHAnsi"/>
      <w:b/>
      <w:bCs/>
      <w:lang w:eastAsia="en-US"/>
    </w:rPr>
  </w:style>
  <w:style w:type="character" w:customStyle="1" w:styleId="CommentSubjectChar">
    <w:name w:val="Comment Subject Char"/>
    <w:basedOn w:val="CommentTextChar"/>
    <w:link w:val="CommentSubject"/>
    <w:uiPriority w:val="99"/>
    <w:semiHidden/>
    <w:rsid w:val="00B4550C"/>
    <w:rPr>
      <w:rFonts w:eastAsiaTheme="minorHAnsi"/>
      <w:b/>
      <w:bCs/>
      <w:lang w:eastAsia="en-US"/>
    </w:rPr>
  </w:style>
  <w:style w:type="paragraph" w:styleId="Revision">
    <w:name w:val="Revision"/>
    <w:hidden/>
    <w:uiPriority w:val="99"/>
    <w:semiHidden/>
    <w:rsid w:val="00DC7DA0"/>
    <w:pPr>
      <w:spacing w:after="0"/>
    </w:pPr>
  </w:style>
  <w:style w:type="character" w:styleId="FollowedHyperlink">
    <w:name w:val="FollowedHyperlink"/>
    <w:basedOn w:val="DefaultParagraphFont"/>
    <w:uiPriority w:val="99"/>
    <w:semiHidden/>
    <w:unhideWhenUsed/>
    <w:rsid w:val="00F47DD7"/>
    <w:rPr>
      <w:color w:val="EE78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file:///C:\Users\cmahnken\Desktop\z.umn.edu\DairyFarmBill" TargetMode="External"/><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fsa.usd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a.usda.gov"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farmbill.umn.edu/" TargetMode="External"/><Relationship Id="rId23" Type="http://schemas.openxmlformats.org/officeDocument/2006/relationships/image" Target="media/image40.png"/><Relationship Id="rId10" Type="http://schemas.openxmlformats.org/officeDocument/2006/relationships/image" Target="media/image2.jpeg"/><Relationship Id="rId19" Type="http://schemas.openxmlformats.org/officeDocument/2006/relationships/hyperlink" Target="http://www.dairymarkets.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feb20205388a739a/Farm%20Bill/MPP%20Article%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solidFill>
                  <a:schemeClr val="tx2">
                    <a:lumMod val="50000"/>
                  </a:schemeClr>
                </a:solidFill>
              </a:defRPr>
            </a:pPr>
            <a:r>
              <a:rPr lang="en-US" sz="1100" b="0">
                <a:solidFill>
                  <a:schemeClr val="tx2">
                    <a:lumMod val="50000"/>
                  </a:schemeClr>
                </a:solidFill>
              </a:rPr>
              <a:t>MPP Premium Rates</a:t>
            </a:r>
          </a:p>
        </c:rich>
      </c:tx>
      <c:overlay val="0"/>
    </c:title>
    <c:autoTitleDeleted val="0"/>
    <c:plotArea>
      <c:layout/>
      <c:barChart>
        <c:barDir val="col"/>
        <c:grouping val="clustered"/>
        <c:varyColors val="0"/>
        <c:ser>
          <c:idx val="0"/>
          <c:order val="0"/>
          <c:tx>
            <c:strRef>
              <c:f>Sheet1!$B$1</c:f>
              <c:strCache>
                <c:ptCount val="1"/>
                <c:pt idx="0">
                  <c:v>First 4M lbs PH</c:v>
                </c:pt>
              </c:strCache>
            </c:strRef>
          </c:tx>
          <c:invertIfNegative val="0"/>
          <c:dLbls>
            <c:numFmt formatCode="&quot;$&quot;#,##0.000" sourceLinked="0"/>
            <c:txPr>
              <a:bodyPr rot="-5400000" vert="horz"/>
              <a:lstStyle/>
              <a:p>
                <a:pPr>
                  <a:defRPr sz="700"/>
                </a:pPr>
                <a:endParaRPr lang="en-US"/>
              </a:p>
            </c:txPr>
            <c:dLblPos val="outEnd"/>
            <c:showLegendKey val="0"/>
            <c:showVal val="1"/>
            <c:showCatName val="0"/>
            <c:showSerName val="0"/>
            <c:showPercent val="0"/>
            <c:showBubbleSize val="0"/>
            <c:showLeaderLines val="0"/>
          </c:dLbls>
          <c:cat>
            <c:numRef>
              <c:f>Sheet1!$A$2:$A$10</c:f>
              <c:numCache>
                <c:formatCode>"$"#,##0.00_);[Red]\("$"#,##0.00\)</c:formatCode>
                <c:ptCount val="9"/>
                <c:pt idx="0">
                  <c:v>4</c:v>
                </c:pt>
                <c:pt idx="1">
                  <c:v>4.5</c:v>
                </c:pt>
                <c:pt idx="2">
                  <c:v>5</c:v>
                </c:pt>
                <c:pt idx="3">
                  <c:v>5.5</c:v>
                </c:pt>
                <c:pt idx="4">
                  <c:v>6</c:v>
                </c:pt>
                <c:pt idx="5">
                  <c:v>6.5</c:v>
                </c:pt>
                <c:pt idx="6">
                  <c:v>7</c:v>
                </c:pt>
                <c:pt idx="7">
                  <c:v>7.5</c:v>
                </c:pt>
                <c:pt idx="8">
                  <c:v>8</c:v>
                </c:pt>
              </c:numCache>
            </c:numRef>
          </c:cat>
          <c:val>
            <c:numRef>
              <c:f>Sheet1!$B$2:$B$10</c:f>
              <c:numCache>
                <c:formatCode>"$"#,##0.00_);[Red]\("$"#,##0.00\)</c:formatCode>
                <c:ptCount val="9"/>
                <c:pt idx="0" formatCode="General">
                  <c:v>0</c:v>
                </c:pt>
                <c:pt idx="1">
                  <c:v>0.01</c:v>
                </c:pt>
                <c:pt idx="2">
                  <c:v>2.5000000000000001E-2</c:v>
                </c:pt>
                <c:pt idx="3">
                  <c:v>0.04</c:v>
                </c:pt>
                <c:pt idx="4">
                  <c:v>5.5E-2</c:v>
                </c:pt>
                <c:pt idx="5">
                  <c:v>0.09</c:v>
                </c:pt>
                <c:pt idx="6">
                  <c:v>0.217</c:v>
                </c:pt>
                <c:pt idx="7">
                  <c:v>0.3</c:v>
                </c:pt>
                <c:pt idx="8">
                  <c:v>0.47499999999999998</c:v>
                </c:pt>
              </c:numCache>
            </c:numRef>
          </c:val>
        </c:ser>
        <c:ser>
          <c:idx val="1"/>
          <c:order val="1"/>
          <c:tx>
            <c:strRef>
              <c:f>Sheet1!$C$1</c:f>
              <c:strCache>
                <c:ptCount val="1"/>
                <c:pt idx="0">
                  <c:v>After 4M lbs PH</c:v>
                </c:pt>
              </c:strCache>
            </c:strRef>
          </c:tx>
          <c:invertIfNegative val="0"/>
          <c:dLbls>
            <c:numFmt formatCode="&quot;$&quot;#,##0.000" sourceLinked="0"/>
            <c:txPr>
              <a:bodyPr rot="-5400000" vert="horz"/>
              <a:lstStyle/>
              <a:p>
                <a:pPr>
                  <a:defRPr sz="700"/>
                </a:pPr>
                <a:endParaRPr lang="en-US"/>
              </a:p>
            </c:txPr>
            <c:dLblPos val="outEnd"/>
            <c:showLegendKey val="0"/>
            <c:showVal val="1"/>
            <c:showCatName val="0"/>
            <c:showSerName val="0"/>
            <c:showPercent val="0"/>
            <c:showBubbleSize val="0"/>
            <c:showLeaderLines val="0"/>
          </c:dLbls>
          <c:cat>
            <c:numRef>
              <c:f>Sheet1!$A$2:$A$10</c:f>
              <c:numCache>
                <c:formatCode>"$"#,##0.00_);[Red]\("$"#,##0.00\)</c:formatCode>
                <c:ptCount val="9"/>
                <c:pt idx="0">
                  <c:v>4</c:v>
                </c:pt>
                <c:pt idx="1">
                  <c:v>4.5</c:v>
                </c:pt>
                <c:pt idx="2">
                  <c:v>5</c:v>
                </c:pt>
                <c:pt idx="3">
                  <c:v>5.5</c:v>
                </c:pt>
                <c:pt idx="4">
                  <c:v>6</c:v>
                </c:pt>
                <c:pt idx="5">
                  <c:v>6.5</c:v>
                </c:pt>
                <c:pt idx="6">
                  <c:v>7</c:v>
                </c:pt>
                <c:pt idx="7">
                  <c:v>7.5</c:v>
                </c:pt>
                <c:pt idx="8">
                  <c:v>8</c:v>
                </c:pt>
              </c:numCache>
            </c:numRef>
          </c:cat>
          <c:val>
            <c:numRef>
              <c:f>Sheet1!$C$2:$C$10</c:f>
              <c:numCache>
                <c:formatCode>"$"#,##0.00_);[Red]\("$"#,##0.00\)</c:formatCode>
                <c:ptCount val="9"/>
                <c:pt idx="0" formatCode="General">
                  <c:v>0</c:v>
                </c:pt>
                <c:pt idx="1">
                  <c:v>0.02</c:v>
                </c:pt>
                <c:pt idx="2">
                  <c:v>0.04</c:v>
                </c:pt>
                <c:pt idx="3">
                  <c:v>0.1</c:v>
                </c:pt>
                <c:pt idx="4">
                  <c:v>0.155</c:v>
                </c:pt>
                <c:pt idx="5">
                  <c:v>0.28999999999999998</c:v>
                </c:pt>
                <c:pt idx="6">
                  <c:v>0.83</c:v>
                </c:pt>
                <c:pt idx="7">
                  <c:v>1.06</c:v>
                </c:pt>
                <c:pt idx="8">
                  <c:v>1.36</c:v>
                </c:pt>
              </c:numCache>
            </c:numRef>
          </c:val>
        </c:ser>
        <c:dLbls>
          <c:dLblPos val="outEnd"/>
          <c:showLegendKey val="0"/>
          <c:showVal val="1"/>
          <c:showCatName val="0"/>
          <c:showSerName val="0"/>
          <c:showPercent val="0"/>
          <c:showBubbleSize val="0"/>
        </c:dLbls>
        <c:gapWidth val="150"/>
        <c:axId val="91490560"/>
        <c:axId val="89286912"/>
      </c:barChart>
      <c:catAx>
        <c:axId val="91490560"/>
        <c:scaling>
          <c:orientation val="minMax"/>
        </c:scaling>
        <c:delete val="0"/>
        <c:axPos val="b"/>
        <c:numFmt formatCode="&quot;$&quot;#,##0.00_);[Red]\(&quot;$&quot;#,##0.00\)" sourceLinked="1"/>
        <c:majorTickMark val="out"/>
        <c:minorTickMark val="none"/>
        <c:tickLblPos val="nextTo"/>
        <c:txPr>
          <a:bodyPr/>
          <a:lstStyle/>
          <a:p>
            <a:pPr>
              <a:defRPr sz="800">
                <a:solidFill>
                  <a:schemeClr val="tx2">
                    <a:lumMod val="50000"/>
                  </a:schemeClr>
                </a:solidFill>
              </a:defRPr>
            </a:pPr>
            <a:endParaRPr lang="en-US"/>
          </a:p>
        </c:txPr>
        <c:crossAx val="89286912"/>
        <c:crosses val="autoZero"/>
        <c:auto val="1"/>
        <c:lblAlgn val="ctr"/>
        <c:lblOffset val="100"/>
        <c:noMultiLvlLbl val="0"/>
      </c:catAx>
      <c:valAx>
        <c:axId val="89286912"/>
        <c:scaling>
          <c:orientation val="minMax"/>
        </c:scaling>
        <c:delete val="0"/>
        <c:axPos val="l"/>
        <c:majorGridlines>
          <c:spPr>
            <a:ln>
              <a:solidFill>
                <a:schemeClr val="tx2">
                  <a:lumMod val="40000"/>
                  <a:lumOff val="60000"/>
                </a:schemeClr>
              </a:solidFill>
            </a:ln>
          </c:spPr>
        </c:majorGridlines>
        <c:numFmt formatCode="&quot;$&quot;#,##0.00" sourceLinked="0"/>
        <c:majorTickMark val="out"/>
        <c:minorTickMark val="none"/>
        <c:tickLblPos val="nextTo"/>
        <c:spPr>
          <a:ln>
            <a:noFill/>
          </a:ln>
        </c:spPr>
        <c:txPr>
          <a:bodyPr/>
          <a:lstStyle/>
          <a:p>
            <a:pPr>
              <a:defRPr sz="800">
                <a:solidFill>
                  <a:schemeClr val="tx2">
                    <a:lumMod val="50000"/>
                  </a:schemeClr>
                </a:solidFill>
              </a:defRPr>
            </a:pPr>
            <a:endParaRPr lang="en-US"/>
          </a:p>
        </c:txPr>
        <c:crossAx val="91490560"/>
        <c:crosses val="autoZero"/>
        <c:crossBetween val="between"/>
      </c:valAx>
    </c:plotArea>
    <c:legend>
      <c:legendPos val="b"/>
      <c:overlay val="0"/>
      <c:txPr>
        <a:bodyPr/>
        <a:lstStyle/>
        <a:p>
          <a:pPr>
            <a:defRPr sz="800">
              <a:solidFill>
                <a:schemeClr val="tx2">
                  <a:lumMod val="50000"/>
                </a:schemeClr>
              </a:solidFill>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'[MPP Article Charts.xlsx]2009 Dairy Production Margin'!$C$3</c:f>
          <c:strCache>
            <c:ptCount val="1"/>
            <c:pt idx="0">
              <c:v>2009 Dairy Prod Margin</c:v>
            </c:pt>
          </c:strCache>
        </c:strRef>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'[MPP Article Charts.xlsx]2009 Dairy Production Margin'!$D$3</c:f>
              <c:strCache>
                <c:ptCount val="1"/>
                <c:pt idx="0">
                  <c:v>MPP Margin</c:v>
                </c:pt>
              </c:strCache>
            </c:strRef>
          </c:tx>
          <c:spPr>
            <a:solidFill>
              <a:schemeClr val="accent1"/>
            </a:solidFill>
            <a:ln>
              <a:noFill/>
            </a:ln>
            <a:effectLst/>
          </c:spPr>
          <c:invertIfNegative val="0"/>
          <c:cat>
            <c:strRef>
              <c:f>'[MPP Article Charts.xlsx]2009 Dairy Production Margin'!$C$4:$C$15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'[MPP Article Charts.xlsx]2009 Dairy Production Margin'!$D$4:$D$15</c:f>
              <c:numCache>
                <c:formatCode>General</c:formatCode>
                <c:ptCount val="12"/>
                <c:pt idx="0">
                  <c:v>4.34</c:v>
                </c:pt>
                <c:pt idx="1">
                  <c:v>3.33</c:v>
                </c:pt>
                <c:pt idx="2">
                  <c:v>3.53</c:v>
                </c:pt>
                <c:pt idx="3">
                  <c:v>3.58</c:v>
                </c:pt>
                <c:pt idx="4">
                  <c:v>2.73</c:v>
                </c:pt>
                <c:pt idx="5">
                  <c:v>2.25</c:v>
                </c:pt>
                <c:pt idx="6">
                  <c:v>3.11</c:v>
                </c:pt>
                <c:pt idx="7">
                  <c:v>4.0599999999999996</c:v>
                </c:pt>
                <c:pt idx="8">
                  <c:v>5.23</c:v>
                </c:pt>
                <c:pt idx="9">
                  <c:v>6.54</c:v>
                </c:pt>
                <c:pt idx="10">
                  <c:v>7.58</c:v>
                </c:pt>
                <c:pt idx="11">
                  <c:v>8.69</c:v>
                </c:pt>
              </c:numCache>
            </c:numRef>
          </c:val>
        </c:ser>
        <c:ser>
          <c:idx val="1"/>
          <c:order val="1"/>
          <c:tx>
            <c:strRef>
              <c:f>'[MPP Article Charts.xlsx]2009 Dairy Production Margin'!$G$3</c:f>
              <c:strCache>
                <c:ptCount val="1"/>
                <c:pt idx="0">
                  <c:v>Net Payment</c:v>
                </c:pt>
              </c:strCache>
            </c:strRef>
          </c:tx>
          <c:spPr>
            <a:solidFill>
              <a:schemeClr val="accent6"/>
            </a:solidFill>
            <a:ln>
              <a:noFill/>
            </a:ln>
            <a:effectLst/>
          </c:spPr>
          <c:invertIfNegative val="0"/>
          <c:val>
            <c:numRef>
              <c:f>'[MPP Article Charts.xlsx]2009 Dairy Production Margin'!$G$4:$G$15</c:f>
              <c:numCache>
                <c:formatCode>General</c:formatCode>
                <c:ptCount val="12"/>
                <c:pt idx="0">
                  <c:v>2.665</c:v>
                </c:pt>
                <c:pt idx="1">
                  <c:v>2.665</c:v>
                </c:pt>
                <c:pt idx="2">
                  <c:v>2.9450000000000003</c:v>
                </c:pt>
                <c:pt idx="3">
                  <c:v>2.9450000000000003</c:v>
                </c:pt>
                <c:pt idx="4">
                  <c:v>4.01</c:v>
                </c:pt>
                <c:pt idx="5">
                  <c:v>4.01</c:v>
                </c:pt>
                <c:pt idx="6">
                  <c:v>2.915</c:v>
                </c:pt>
                <c:pt idx="7">
                  <c:v>2.915</c:v>
                </c:pt>
                <c:pt idx="8">
                  <c:v>0.61500000000000021</c:v>
                </c:pt>
                <c:pt idx="9">
                  <c:v>0.61500000000000021</c:v>
                </c:pt>
                <c:pt idx="10">
                  <c:v>0</c:v>
                </c:pt>
                <c:pt idx="11">
                  <c:v>0</c:v>
                </c:pt>
              </c:numCache>
            </c:numRef>
          </c:val>
        </c:ser>
        <c:ser>
          <c:idx val="2"/>
          <c:order val="2"/>
          <c:tx>
            <c:strRef>
              <c:f>'[MPP Article Charts.xlsx]2009 Dairy Production Margin'!$H$3</c:f>
              <c:strCache>
                <c:ptCount val="1"/>
                <c:pt idx="0">
                  <c:v>Net Premium</c:v>
                </c:pt>
              </c:strCache>
            </c:strRef>
          </c:tx>
          <c:spPr>
            <a:solidFill>
              <a:srgbClr val="FF0000"/>
            </a:solidFill>
            <a:ln>
              <a:noFill/>
            </a:ln>
            <a:effectLst/>
          </c:spPr>
          <c:invertIfNegative val="0"/>
          <c:val>
            <c:numRef>
              <c:f>'[MPP Article Charts.xlsx]2009 Dairy Production Margin'!$H$4:$H$15</c:f>
              <c:numCache>
                <c:formatCode>General</c:formatCode>
                <c:ptCount val="12"/>
                <c:pt idx="0">
                  <c:v>0</c:v>
                </c:pt>
                <c:pt idx="1">
                  <c:v>0</c:v>
                </c:pt>
                <c:pt idx="2">
                  <c:v>0</c:v>
                </c:pt>
                <c:pt idx="3">
                  <c:v>0</c:v>
                </c:pt>
                <c:pt idx="4">
                  <c:v>0</c:v>
                </c:pt>
                <c:pt idx="5">
                  <c:v>0</c:v>
                </c:pt>
                <c:pt idx="6">
                  <c:v>0</c:v>
                </c:pt>
                <c:pt idx="7">
                  <c:v>0</c:v>
                </c:pt>
                <c:pt idx="8">
                  <c:v>0</c:v>
                </c:pt>
                <c:pt idx="9">
                  <c:v>0</c:v>
                </c:pt>
                <c:pt idx="10">
                  <c:v>-7.0000000000000007E-2</c:v>
                </c:pt>
                <c:pt idx="11">
                  <c:v>-7.0000000000000007E-2</c:v>
                </c:pt>
              </c:numCache>
            </c:numRef>
          </c:val>
        </c:ser>
        <c:dLbls>
          <c:showLegendKey val="0"/>
          <c:showVal val="0"/>
          <c:showCatName val="0"/>
          <c:showSerName val="0"/>
          <c:showPercent val="0"/>
          <c:showBubbleSize val="0"/>
        </c:dLbls>
        <c:gapWidth val="150"/>
        <c:overlap val="100"/>
        <c:axId val="116449280"/>
        <c:axId val="116450816"/>
      </c:barChart>
      <c:catAx>
        <c:axId val="116449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50816"/>
        <c:crosses val="autoZero"/>
        <c:auto val="1"/>
        <c:lblAlgn val="ctr"/>
        <c:lblOffset val="100"/>
        <c:noMultiLvlLbl val="0"/>
      </c:catAx>
      <c:valAx>
        <c:axId val="116450816"/>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$/CWT</a:t>
                </a:r>
              </a:p>
            </c:rich>
          </c:tx>
          <c:overlay val="0"/>
          <c:spPr>
            <a:noFill/>
            <a:ln>
              <a:noFill/>
            </a:ln>
            <a:effectLst/>
          </c:spPr>
        </c:title>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49280"/>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solidFill>
                  <a:schemeClr val="tx2">
                    <a:lumMod val="50000"/>
                  </a:schemeClr>
                </a:solidFill>
              </a:defRPr>
            </a:pPr>
            <a:r>
              <a:rPr lang="en-US" sz="1400" b="0">
                <a:solidFill>
                  <a:schemeClr val="tx2">
                    <a:lumMod val="50000"/>
                  </a:schemeClr>
                </a:solidFill>
              </a:rPr>
              <a:t>Net Returns</a:t>
            </a:r>
          </a:p>
        </c:rich>
      </c:tx>
      <c:overlay val="0"/>
    </c:title>
    <c:autoTitleDeleted val="0"/>
    <c:plotArea>
      <c:layout/>
      <c:barChart>
        <c:barDir val="col"/>
        <c:grouping val="clustered"/>
        <c:varyColors val="0"/>
        <c:ser>
          <c:idx val="0"/>
          <c:order val="0"/>
          <c:tx>
            <c:strRef>
              <c:f>Sheet1!$B$1</c:f>
              <c:strCache>
                <c:ptCount val="1"/>
                <c:pt idx="0">
                  <c:v>Catastrophic</c:v>
                </c:pt>
              </c:strCache>
            </c:strRef>
          </c:tx>
          <c:invertIfNegative val="0"/>
          <c:cat>
            <c:strRef>
              <c:f>Sheet1!$A$2:$A$3</c:f>
              <c:strCache>
                <c:ptCount val="2"/>
                <c:pt idx="0">
                  <c:v>4M</c:v>
                </c:pt>
                <c:pt idx="1">
                  <c:v>20M</c:v>
                </c:pt>
              </c:strCache>
            </c:strRef>
          </c:cat>
          <c:val>
            <c:numRef>
              <c:f>Sheet1!$B$2:$B$3</c:f>
              <c:numCache>
                <c:formatCode>General</c:formatCode>
                <c:ptCount val="2"/>
                <c:pt idx="0">
                  <c:v>0.1</c:v>
                </c:pt>
                <c:pt idx="1">
                  <c:v>0.1</c:v>
                </c:pt>
              </c:numCache>
            </c:numRef>
          </c:val>
        </c:ser>
        <c:ser>
          <c:idx val="1"/>
          <c:order val="1"/>
          <c:tx>
            <c:strRef>
              <c:f>Sheet1!$C$1</c:f>
              <c:strCache>
                <c:ptCount val="1"/>
                <c:pt idx="0">
                  <c:v>Risk Mgt</c:v>
                </c:pt>
              </c:strCache>
            </c:strRef>
          </c:tx>
          <c:invertIfNegative val="0"/>
          <c:cat>
            <c:strRef>
              <c:f>Sheet1!$A$2:$A$3</c:f>
              <c:strCache>
                <c:ptCount val="2"/>
                <c:pt idx="0">
                  <c:v>4M</c:v>
                </c:pt>
                <c:pt idx="1">
                  <c:v>20M</c:v>
                </c:pt>
              </c:strCache>
            </c:strRef>
          </c:cat>
          <c:val>
            <c:numRef>
              <c:f>Sheet1!$C$2:$C$3</c:f>
              <c:numCache>
                <c:formatCode>General</c:formatCode>
                <c:ptCount val="2"/>
                <c:pt idx="0">
                  <c:v>0.54</c:v>
                </c:pt>
                <c:pt idx="1">
                  <c:v>0.4</c:v>
                </c:pt>
              </c:numCache>
            </c:numRef>
          </c:val>
        </c:ser>
        <c:ser>
          <c:idx val="2"/>
          <c:order val="2"/>
          <c:tx>
            <c:strRef>
              <c:f>Sheet1!$D$1</c:f>
              <c:strCache>
                <c:ptCount val="1"/>
                <c:pt idx="0">
                  <c:v>Predicted</c:v>
                </c:pt>
              </c:strCache>
            </c:strRef>
          </c:tx>
          <c:invertIfNegative val="0"/>
          <c:cat>
            <c:strRef>
              <c:f>Sheet1!$A$2:$A$3</c:f>
              <c:strCache>
                <c:ptCount val="2"/>
                <c:pt idx="0">
                  <c:v>4M</c:v>
                </c:pt>
                <c:pt idx="1">
                  <c:v>20M</c:v>
                </c:pt>
              </c:strCache>
            </c:strRef>
          </c:cat>
          <c:val>
            <c:numRef>
              <c:f>Sheet1!$D$2:$D$3</c:f>
              <c:numCache>
                <c:formatCode>General</c:formatCode>
                <c:ptCount val="2"/>
                <c:pt idx="0">
                  <c:v>0.62</c:v>
                </c:pt>
                <c:pt idx="1">
                  <c:v>0.25</c:v>
                </c:pt>
              </c:numCache>
            </c:numRef>
          </c:val>
        </c:ser>
        <c:dLbls>
          <c:showLegendKey val="0"/>
          <c:showVal val="0"/>
          <c:showCatName val="0"/>
          <c:showSerName val="0"/>
          <c:showPercent val="0"/>
          <c:showBubbleSize val="0"/>
        </c:dLbls>
        <c:gapWidth val="150"/>
        <c:overlap val="-27"/>
        <c:axId val="116555136"/>
        <c:axId val="116569216"/>
      </c:barChart>
      <c:catAx>
        <c:axId val="116555136"/>
        <c:scaling>
          <c:orientation val="minMax"/>
        </c:scaling>
        <c:delete val="0"/>
        <c:axPos val="b"/>
        <c:majorTickMark val="out"/>
        <c:minorTickMark val="none"/>
        <c:tickLblPos val="nextTo"/>
        <c:crossAx val="116569216"/>
        <c:crosses val="autoZero"/>
        <c:auto val="1"/>
        <c:lblAlgn val="ctr"/>
        <c:lblOffset val="100"/>
        <c:noMultiLvlLbl val="0"/>
      </c:catAx>
      <c:valAx>
        <c:axId val="116569216"/>
        <c:scaling>
          <c:orientation val="minMax"/>
        </c:scaling>
        <c:delete val="0"/>
        <c:axPos val="l"/>
        <c:majorGridlines/>
        <c:numFmt formatCode="&quot;$&quot;#,##0.00" sourceLinked="0"/>
        <c:majorTickMark val="out"/>
        <c:minorTickMark val="none"/>
        <c:tickLblPos val="nextTo"/>
        <c:spPr>
          <a:ln>
            <a:noFill/>
          </a:ln>
        </c:spPr>
        <c:txPr>
          <a:bodyPr/>
          <a:lstStyle/>
          <a:p>
            <a:pPr>
              <a:defRPr sz="900">
                <a:solidFill>
                  <a:schemeClr val="tx2">
                    <a:lumMod val="50000"/>
                  </a:schemeClr>
                </a:solidFill>
              </a:defRPr>
            </a:pPr>
            <a:endParaRPr lang="en-US"/>
          </a:p>
        </c:txPr>
        <c:crossAx val="116555136"/>
        <c:crosses val="autoZero"/>
        <c:crossBetween val="between"/>
      </c:valAx>
    </c:plotArea>
    <c:legend>
      <c:legendPos val="b"/>
      <c:overlay val="0"/>
      <c:txPr>
        <a:bodyPr/>
        <a:lstStyle/>
        <a:p>
          <a:pPr>
            <a:defRPr sz="900">
              <a:solidFill>
                <a:schemeClr val="tx2">
                  <a:lumMod val="50000"/>
                </a:schemeClr>
              </a:solidFill>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UMN-EFANS">
      <a:dk1>
        <a:sysClr val="windowText" lastClr="000000"/>
      </a:dk1>
      <a:lt1>
        <a:sysClr val="window" lastClr="FFFFFF"/>
      </a:lt1>
      <a:dk2>
        <a:srgbClr val="878878"/>
      </a:dk2>
      <a:lt2>
        <a:srgbClr val="DDD6CE"/>
      </a:lt2>
      <a:accent1>
        <a:srgbClr val="7A0019"/>
      </a:accent1>
      <a:accent2>
        <a:srgbClr val="FFCC33"/>
      </a:accent2>
      <a:accent3>
        <a:srgbClr val="CE1B22"/>
      </a:accent3>
      <a:accent4>
        <a:srgbClr val="580005"/>
      </a:accent4>
      <a:accent5>
        <a:srgbClr val="59C8DC"/>
      </a:accent5>
      <a:accent6>
        <a:srgbClr val="F79440"/>
      </a:accent6>
      <a:hlink>
        <a:srgbClr val="CE1B22"/>
      </a:hlink>
      <a:folHlink>
        <a:srgbClr val="EE787C"/>
      </a:folHlink>
    </a:clrScheme>
    <a:fontScheme name="UMN">
      <a:majorFont>
        <a:latin typeface="Calibri"/>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9E40-D6AB-43A2-BF98-D8709A7B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1213</Words>
  <Characters>5849</Characters>
  <Application>Microsoft Office Word</Application>
  <DocSecurity>0</DocSecurity>
  <Lines>127</Lines>
  <Paragraphs>75</Paragraphs>
  <ScaleCrop>false</ScaleCrop>
  <HeadingPairs>
    <vt:vector size="2" baseType="variant">
      <vt:variant>
        <vt:lpstr>Title</vt:lpstr>
      </vt:variant>
      <vt:variant>
        <vt:i4>1</vt:i4>
      </vt:variant>
    </vt:vector>
  </HeadingPairs>
  <TitlesOfParts>
    <vt:vector size="1" baseType="lpstr">
      <vt:lpstr/>
    </vt:vector>
  </TitlesOfParts>
  <Company>Extension</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of MN Extension</dc:creator>
  <cp:lastModifiedBy>Betty Berning Berning</cp:lastModifiedBy>
  <cp:revision>9</cp:revision>
  <cp:lastPrinted>2014-10-27T14:45:00Z</cp:lastPrinted>
  <dcterms:created xsi:type="dcterms:W3CDTF">2015-08-06T02:57:00Z</dcterms:created>
  <dcterms:modified xsi:type="dcterms:W3CDTF">2015-08-07T20:54:00Z</dcterms:modified>
</cp:coreProperties>
</file>